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252D" w14:textId="642AB603" w:rsidR="00BE59E0" w:rsidRDefault="000404DE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9060708" wp14:editId="1EBA17AB">
            <wp:extent cx="430530" cy="5302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3F8A0" w14:textId="77777777" w:rsidR="00BE59E0" w:rsidRDefault="00BE59E0">
      <w:pPr>
        <w:rPr>
          <w:sz w:val="2"/>
          <w:szCs w:val="2"/>
        </w:rPr>
      </w:pPr>
    </w:p>
    <w:p w14:paraId="666604B0" w14:textId="77777777" w:rsidR="00BE59E0" w:rsidRDefault="00D034DE">
      <w:pPr>
        <w:pStyle w:val="30"/>
        <w:shd w:val="clear" w:color="auto" w:fill="auto"/>
        <w:spacing w:before="94"/>
        <w:ind w:right="260"/>
      </w:pPr>
      <w:r>
        <w:rPr>
          <w:rStyle w:val="31"/>
        </w:rPr>
        <w:t>МИНИСТЕРСТВО</w:t>
      </w:r>
    </w:p>
    <w:p w14:paraId="72CEC9B9" w14:textId="77777777" w:rsidR="00BE59E0" w:rsidRDefault="00D034DE">
      <w:pPr>
        <w:pStyle w:val="30"/>
        <w:shd w:val="clear" w:color="auto" w:fill="auto"/>
        <w:spacing w:before="0"/>
        <w:ind w:right="260"/>
      </w:pPr>
      <w:r>
        <w:rPr>
          <w:rStyle w:val="31"/>
        </w:rPr>
        <w:t>ЗДРАВООХРАНЕНИЯ</w:t>
      </w:r>
    </w:p>
    <w:p w14:paraId="021DACBB" w14:textId="77777777" w:rsidR="00BE59E0" w:rsidRDefault="00D034DE">
      <w:pPr>
        <w:pStyle w:val="40"/>
        <w:shd w:val="clear" w:color="auto" w:fill="auto"/>
        <w:spacing w:after="1078"/>
        <w:ind w:right="260"/>
      </w:pPr>
      <w:r>
        <w:rPr>
          <w:rStyle w:val="41"/>
        </w:rPr>
        <w:t>РОССИЙСКОЙ ФЕДЕРАЦИИ</w:t>
      </w:r>
    </w:p>
    <w:p w14:paraId="47783269" w14:textId="77777777" w:rsidR="00BE59E0" w:rsidRDefault="00D034DE">
      <w:pPr>
        <w:pStyle w:val="20"/>
        <w:shd w:val="clear" w:color="auto" w:fill="auto"/>
        <w:spacing w:before="0" w:after="366" w:line="260" w:lineRule="exact"/>
        <w:ind w:right="260" w:firstLine="0"/>
      </w:pPr>
      <w:r>
        <w:rPr>
          <w:rStyle w:val="21"/>
        </w:rPr>
        <w:t>Клинические рекомендации</w:t>
      </w:r>
    </w:p>
    <w:p w14:paraId="6932D3FD" w14:textId="77777777" w:rsidR="00BE59E0" w:rsidRDefault="00D034DE">
      <w:pPr>
        <w:pStyle w:val="10"/>
        <w:keepNext/>
        <w:keepLines/>
        <w:shd w:val="clear" w:color="auto" w:fill="auto"/>
        <w:spacing w:before="0" w:after="427" w:line="480" w:lineRule="exact"/>
        <w:ind w:left="340"/>
      </w:pPr>
      <w:bookmarkStart w:id="0" w:name="bookmark0"/>
      <w:r>
        <w:rPr>
          <w:rStyle w:val="11"/>
          <w:b/>
          <w:bCs/>
        </w:rPr>
        <w:t xml:space="preserve">Анемия при злокачественных </w:t>
      </w:r>
      <w:r>
        <w:rPr>
          <w:rStyle w:val="11"/>
          <w:b/>
          <w:bCs/>
        </w:rPr>
        <w:t>новообразованиях</w:t>
      </w:r>
      <w:bookmarkEnd w:id="0"/>
    </w:p>
    <w:p w14:paraId="5DFB8CB1" w14:textId="77777777" w:rsidR="00BE59E0" w:rsidRDefault="00D034DE">
      <w:pPr>
        <w:pStyle w:val="20"/>
        <w:shd w:val="clear" w:color="auto" w:fill="auto"/>
        <w:spacing w:before="0" w:after="5" w:line="394" w:lineRule="exact"/>
        <w:ind w:right="3180" w:firstLine="0"/>
        <w:jc w:val="left"/>
      </w:pPr>
      <w:r>
        <w:rPr>
          <w:rStyle w:val="21"/>
        </w:rPr>
        <w:t>Кодирование по Международной статистической классификации болезней и проблем, связанных со здоровьем:В63.0</w:t>
      </w:r>
    </w:p>
    <w:p w14:paraId="16513ED7" w14:textId="77777777" w:rsidR="00BE59E0" w:rsidRDefault="00D034DE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Год утверждения (частота пересмотра):2020</w:t>
      </w:r>
    </w:p>
    <w:p w14:paraId="45E47E18" w14:textId="77777777" w:rsidR="00BE59E0" w:rsidRDefault="00D034DE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 xml:space="preserve">В озрастная категория: </w:t>
      </w:r>
      <w:r>
        <w:rPr>
          <w:rStyle w:val="22"/>
        </w:rPr>
        <w:t>Взрослые,Дети</w:t>
      </w:r>
    </w:p>
    <w:p w14:paraId="69C63D33" w14:textId="77777777" w:rsidR="00BE59E0" w:rsidRDefault="00D034DE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Пересмотр не позднее:2022</w:t>
      </w:r>
    </w:p>
    <w:p w14:paraId="7526CF9A" w14:textId="77777777" w:rsidR="00BE59E0" w:rsidRDefault="00D034DE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ГО:624</w:t>
      </w:r>
    </w:p>
    <w:p w14:paraId="6CF72D5F" w14:textId="77777777" w:rsidR="00BE59E0" w:rsidRDefault="00D034DE">
      <w:pPr>
        <w:pStyle w:val="20"/>
        <w:shd w:val="clear" w:color="auto" w:fill="auto"/>
        <w:spacing w:before="0" w:after="342" w:line="538" w:lineRule="exact"/>
        <w:ind w:right="260" w:firstLine="0"/>
      </w:pPr>
      <w:r>
        <w:rPr>
          <w:rStyle w:val="21"/>
        </w:rPr>
        <w:t>Разработчик клинической рекомендации</w:t>
      </w:r>
    </w:p>
    <w:p w14:paraId="61947B0A" w14:textId="77777777" w:rsidR="00BE59E0" w:rsidRDefault="00D034DE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42" w:line="260" w:lineRule="exact"/>
        <w:ind w:firstLine="0"/>
      </w:pPr>
      <w:r>
        <w:rPr>
          <w:rStyle w:val="51"/>
          <w:b/>
          <w:bCs/>
        </w:rPr>
        <w:t>Национальное гематологическое общество</w:t>
      </w:r>
    </w:p>
    <w:p w14:paraId="18410D45" w14:textId="77777777" w:rsidR="00BE59E0" w:rsidRDefault="00D034DE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527" w:line="260" w:lineRule="exact"/>
        <w:ind w:firstLine="0"/>
      </w:pPr>
      <w:r>
        <w:rPr>
          <w:rStyle w:val="51"/>
          <w:b/>
          <w:bCs/>
        </w:rPr>
        <w:t>Национальное общество детских гематологов, онкологов</w:t>
      </w:r>
    </w:p>
    <w:p w14:paraId="12A6D35B" w14:textId="77777777" w:rsidR="00BE59E0" w:rsidRDefault="00D034DE">
      <w:pPr>
        <w:pStyle w:val="20"/>
        <w:shd w:val="clear" w:color="auto" w:fill="auto"/>
        <w:spacing w:before="0" w:after="0" w:line="260" w:lineRule="exact"/>
        <w:ind w:right="260" w:firstLine="0"/>
        <w:sectPr w:rsidR="00BE59E0">
          <w:pgSz w:w="11900" w:h="16840"/>
          <w:pgMar w:top="840" w:right="572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250701E2" w14:textId="77777777" w:rsidR="00BE59E0" w:rsidRDefault="00D034DE">
      <w:pPr>
        <w:pStyle w:val="10"/>
        <w:keepNext/>
        <w:keepLines/>
        <w:shd w:val="clear" w:color="auto" w:fill="auto"/>
        <w:spacing w:before="0" w:after="315" w:line="480" w:lineRule="exact"/>
        <w:ind w:left="320"/>
        <w:jc w:val="center"/>
      </w:pPr>
      <w:bookmarkStart w:id="1" w:name="bookmark1"/>
      <w:r>
        <w:lastRenderedPageBreak/>
        <w:t>Оглавление</w:t>
      </w:r>
      <w:bookmarkEnd w:id="1"/>
    </w:p>
    <w:p w14:paraId="18DFFAF1" w14:textId="77777777" w:rsidR="00BE59E0" w:rsidRDefault="00D034DE">
      <w:pPr>
        <w:pStyle w:val="20"/>
        <w:shd w:val="clear" w:color="auto" w:fill="auto"/>
        <w:spacing w:before="0" w:after="0" w:line="389" w:lineRule="exact"/>
        <w:ind w:right="8140" w:firstLine="0"/>
        <w:jc w:val="left"/>
      </w:pPr>
      <w:r>
        <w:rPr>
          <w:rStyle w:val="23"/>
        </w:rPr>
        <w:t xml:space="preserve">Список сокращений Термины и </w:t>
      </w:r>
      <w:r>
        <w:rPr>
          <w:rStyle w:val="23"/>
        </w:rPr>
        <w:t>определения</w:t>
      </w:r>
    </w:p>
    <w:p w14:paraId="63AAC019" w14:textId="77777777" w:rsidR="00BE59E0" w:rsidRDefault="00D034DE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3"/>
        </w:rPr>
        <w:t>Краткая информация по заболеванию или еоетоянию (группы заболеваний или еоетояний)</w:t>
      </w:r>
    </w:p>
    <w:p w14:paraId="2898630A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3"/>
        </w:rPr>
        <w:t>Определение заболевания или еоетояния (группы заболеваний или еоетояний)</w:t>
      </w:r>
    </w:p>
    <w:p w14:paraId="791C35F2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Этиология и патогенез заболевания или еоетояния (группы заболеваний или еоетояний)</w:t>
      </w:r>
    </w:p>
    <w:p w14:paraId="4A4E7169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Эпиде</w:t>
      </w:r>
      <w:r>
        <w:rPr>
          <w:rStyle w:val="23"/>
        </w:rPr>
        <w:t>миология заболевания или еоетояния (группы заболеваний или еоетояний)</w:t>
      </w:r>
    </w:p>
    <w:p w14:paraId="3E61A395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3"/>
        </w:rPr>
        <w:t>Оеобенноети кодирования заболевания или еоетояния (группы заболеваний или еоетояний) по Международной етатичеекой клаеификации болезней и проблем, евязанных ео здоровьем</w:t>
      </w:r>
    </w:p>
    <w:p w14:paraId="42CD6E2F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Клаееификация за</w:t>
      </w:r>
      <w:r>
        <w:rPr>
          <w:rStyle w:val="23"/>
        </w:rPr>
        <w:t>болевания или еоетояния (группы заболеваний или еоетояний)</w:t>
      </w:r>
    </w:p>
    <w:p w14:paraId="5E08DFDB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3"/>
        </w:rPr>
        <w:t>Клиничеекая картина заболевания или еоетояния (группы заболеваний или еоетояний)</w:t>
      </w:r>
    </w:p>
    <w:p w14:paraId="1580CC26" w14:textId="77777777" w:rsidR="00BE59E0" w:rsidRDefault="00D034DE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 xml:space="preserve">Диагноетика заболевания или еоетояния (группы заболеваний или еоетояний) медицинекие показания и </w:t>
      </w:r>
      <w:r>
        <w:rPr>
          <w:rStyle w:val="23"/>
        </w:rPr>
        <w:t>противопоказания к применению методов диагноетики</w:t>
      </w:r>
    </w:p>
    <w:p w14:paraId="09247D63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3"/>
        </w:rPr>
        <w:t>Жалобы и анамнез</w:t>
      </w:r>
    </w:p>
    <w:p w14:paraId="57EAFF8D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Физикальное обеледование</w:t>
      </w:r>
    </w:p>
    <w:p w14:paraId="6D5AB417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Лабораторные диагноетичеекие иееледования</w:t>
      </w:r>
    </w:p>
    <w:p w14:paraId="4BBBB776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Инетрументальные диагноетичеекие иееледования</w:t>
      </w:r>
    </w:p>
    <w:p w14:paraId="7B7A134A" w14:textId="77777777" w:rsidR="00BE59E0" w:rsidRDefault="00D034DE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3"/>
        </w:rPr>
        <w:t>Иные диагноетичеекие иееледования</w:t>
      </w:r>
    </w:p>
    <w:p w14:paraId="1542ED87" w14:textId="77777777" w:rsidR="00BE59E0" w:rsidRDefault="00D034DE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Лечение, включая медикаментозную и немедик</w:t>
      </w:r>
      <w:r>
        <w:rPr>
          <w:rStyle w:val="23"/>
        </w:rPr>
        <w:t>аментозную терапии, диетотерапию, обезболивание, медицинекие показания и противопоказания к применению методов лечения</w:t>
      </w:r>
    </w:p>
    <w:p w14:paraId="439F2065" w14:textId="77777777" w:rsidR="00BE59E0" w:rsidRDefault="00D034DE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Медицинекая реабилитация и еанаторно-курортное лечение, медицинекие показания и противопоказания к применению методов медицинекой реабили</w:t>
      </w:r>
      <w:r>
        <w:rPr>
          <w:rStyle w:val="23"/>
        </w:rPr>
        <w:t>тации, в том чиеле оенованных на иепользовании природных лечебных факторов</w:t>
      </w:r>
    </w:p>
    <w:p w14:paraId="4AAAA00D" w14:textId="77777777" w:rsidR="00BE59E0" w:rsidRDefault="00D034DE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3"/>
        </w:rPr>
        <w:t>Профилактика и диепанеерное наблюдение, медицинекие показания и противопоказания к применению методов профилактики</w:t>
      </w:r>
    </w:p>
    <w:p w14:paraId="0ECAF901" w14:textId="77777777" w:rsidR="00BE59E0" w:rsidRDefault="00D034DE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Организация оказания медицинекой помощи</w:t>
      </w:r>
    </w:p>
    <w:p w14:paraId="1BBF4C85" w14:textId="77777777" w:rsidR="00BE59E0" w:rsidRDefault="00D034DE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3"/>
        </w:rPr>
        <w:t>Дополнительная информация (в том чиеле факторы, влияющие на иеход заболевания или еоетояния)</w:t>
      </w:r>
    </w:p>
    <w:p w14:paraId="14E743CA" w14:textId="77777777" w:rsidR="00BE59E0" w:rsidRDefault="00D034DE">
      <w:pPr>
        <w:pStyle w:val="20"/>
        <w:shd w:val="clear" w:color="auto" w:fill="auto"/>
        <w:spacing w:before="0" w:after="0" w:line="389" w:lineRule="exact"/>
        <w:ind w:right="5240" w:firstLine="0"/>
        <w:jc w:val="left"/>
      </w:pPr>
      <w:r>
        <w:rPr>
          <w:rStyle w:val="23"/>
        </w:rPr>
        <w:t>Критерии оценки качеетва медицинекой помощи Спиеок литературы</w:t>
      </w:r>
    </w:p>
    <w:p w14:paraId="07205C13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А1. Соетав рабочей группы по разработке и переемотру клиничееких рекомендаций</w:t>
      </w:r>
    </w:p>
    <w:p w14:paraId="7F790783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>Приложение А2. Методология разработки клиничееких рекомендаций</w:t>
      </w:r>
    </w:p>
    <w:p w14:paraId="612218C9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left"/>
      </w:pPr>
      <w:r>
        <w:rPr>
          <w:rStyle w:val="23"/>
        </w:rPr>
        <w:t xml:space="preserve">Приложение АЗ. Справочные материалы, включая еоответетвие показаний к применению и противопоказаний, епоеобов применения и доз лекаретвенных препаратов, инетрукции по применению лекаретвенного </w:t>
      </w:r>
      <w:r>
        <w:rPr>
          <w:rStyle w:val="23"/>
        </w:rPr>
        <w:t>препарата Приложение Б. Алгоритмы дейетвий врача Приложение В. Информация для пациента</w:t>
      </w:r>
    </w:p>
    <w:p w14:paraId="741DBBF2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3"/>
        </w:rPr>
        <w:t xml:space="preserve">Приложение </w:t>
      </w:r>
      <w:r>
        <w:rPr>
          <w:rStyle w:val="23"/>
          <w:lang w:val="en-US" w:eastAsia="en-US" w:bidi="en-US"/>
        </w:rPr>
        <w:t xml:space="preserve">Fl-FN. </w:t>
      </w:r>
      <w:r>
        <w:rPr>
          <w:rStyle w:val="23"/>
        </w:rPr>
        <w:t>Шкалы оценки, вопроеники и другие оценочные инетрументы еоетояния пациента, приведенные в клиничееких рекомендациях</w:t>
      </w:r>
    </w:p>
    <w:p w14:paraId="33C02674" w14:textId="77777777" w:rsidR="00BE59E0" w:rsidRDefault="00D034DE">
      <w:pPr>
        <w:pStyle w:val="10"/>
        <w:keepNext/>
        <w:keepLines/>
        <w:shd w:val="clear" w:color="auto" w:fill="auto"/>
        <w:spacing w:before="0" w:after="0" w:line="480" w:lineRule="exact"/>
        <w:jc w:val="center"/>
      </w:pPr>
      <w:bookmarkStart w:id="2" w:name="bookmark2"/>
      <w:r>
        <w:t>Список сокращений</w:t>
      </w:r>
      <w:bookmarkEnd w:id="2"/>
    </w:p>
    <w:p w14:paraId="6D900D93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 xml:space="preserve">АЗН - анемии при </w:t>
      </w:r>
      <w:r>
        <w:rPr>
          <w:rStyle w:val="21"/>
        </w:rPr>
        <w:t>злокачественных новообразованиях</w:t>
      </w:r>
    </w:p>
    <w:p w14:paraId="4A65ADA6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lastRenderedPageBreak/>
        <w:t>АХЗ - анемии хронических заболеваний</w:t>
      </w:r>
    </w:p>
    <w:p w14:paraId="39C38CDA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ДЖ - дефицит железа</w:t>
      </w:r>
    </w:p>
    <w:p w14:paraId="1DFF4EFB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же - концентрация железа сыворотки</w:t>
      </w:r>
    </w:p>
    <w:p w14:paraId="6685A71B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ЗН - злокачественные новообразования</w:t>
      </w:r>
    </w:p>
    <w:p w14:paraId="3068B24B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КМ - костный мозг</w:t>
      </w:r>
    </w:p>
    <w:p w14:paraId="3B8CA7E9" w14:textId="77777777" w:rsidR="00BE59E0" w:rsidRDefault="00D034DE">
      <w:pPr>
        <w:pStyle w:val="20"/>
        <w:shd w:val="clear" w:color="auto" w:fill="auto"/>
        <w:spacing w:before="0" w:after="0" w:line="658" w:lineRule="exact"/>
        <w:ind w:right="4200" w:firstLine="0"/>
        <w:jc w:val="left"/>
      </w:pPr>
      <w:r>
        <w:rPr>
          <w:rStyle w:val="21"/>
        </w:rPr>
        <w:t xml:space="preserve">НТЖ - коэффициент насыщения трансферрина железом ОЖСС - общая </w:t>
      </w:r>
      <w:r>
        <w:rPr>
          <w:rStyle w:val="21"/>
        </w:rPr>
        <w:t>железосвязывающая способность сыворотки РНК - рибонуклеиновая кислота</w:t>
      </w:r>
    </w:p>
    <w:p w14:paraId="1E12661F" w14:textId="77777777" w:rsidR="00BE59E0" w:rsidRDefault="00D034DE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>рчЭПО - рекомбинантный человеческий эритропоэтин (препараты группы «В03ХА01 Эритропоэтин» по классификации АТХ)</w:t>
      </w:r>
    </w:p>
    <w:p w14:paraId="42E469E2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СФ - сывороточный ферритин</w:t>
      </w:r>
    </w:p>
    <w:p w14:paraId="4FBEECE6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ФДЖ - функциональный дефицит железа</w:t>
      </w:r>
    </w:p>
    <w:p w14:paraId="6A931FAD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XT </w:t>
      </w:r>
      <w:r>
        <w:rPr>
          <w:rStyle w:val="21"/>
        </w:rPr>
        <w:t>- химиот</w:t>
      </w:r>
      <w:r>
        <w:rPr>
          <w:rStyle w:val="21"/>
        </w:rPr>
        <w:t>ерапия</w:t>
      </w:r>
    </w:p>
    <w:p w14:paraId="29330DCF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ЦНС - центральная нервная система</w:t>
      </w:r>
    </w:p>
    <w:p w14:paraId="26A58F80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ЭПО - эритропоэтин</w:t>
      </w:r>
    </w:p>
    <w:p w14:paraId="387ED80C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ЭПОр - рецепторы к эритропоэтину</w:t>
      </w:r>
    </w:p>
    <w:p w14:paraId="75332730" w14:textId="77777777" w:rsidR="00BE59E0" w:rsidRDefault="00D034DE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>ЭСП - эритропоэзстимулирующие препараты (препараты группы «ВОЗХ Другие антианемические препараты» по классификации АТХ)</w:t>
      </w:r>
    </w:p>
    <w:p w14:paraId="46734CAE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IFN-y </w:t>
      </w:r>
      <w:r>
        <w:rPr>
          <w:rStyle w:val="21"/>
        </w:rPr>
        <w:t>- интерферон гамма</w:t>
      </w:r>
    </w:p>
    <w:p w14:paraId="50518CF2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  <w:lang w:val="en-US" w:eastAsia="en-US" w:bidi="en-US"/>
        </w:rPr>
        <w:t>IL-</w:t>
      </w:r>
      <w:r>
        <w:rPr>
          <w:rStyle w:val="21"/>
        </w:rPr>
        <w:t>1 - интерлейкин</w:t>
      </w:r>
      <w:r>
        <w:rPr>
          <w:rStyle w:val="21"/>
        </w:rPr>
        <w:t xml:space="preserve"> 1</w:t>
      </w:r>
    </w:p>
    <w:p w14:paraId="639902AB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IL-6 </w:t>
      </w:r>
      <w:r>
        <w:rPr>
          <w:rStyle w:val="21"/>
        </w:rPr>
        <w:t>- интерлейкин 6</w:t>
      </w:r>
    </w:p>
    <w:p w14:paraId="00084366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НЬ - гемоглобин</w:t>
      </w:r>
    </w:p>
    <w:p w14:paraId="580E5B66" w14:textId="77777777" w:rsidR="00BE59E0" w:rsidRDefault="00D034DE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Ht </w:t>
      </w:r>
      <w:r>
        <w:rPr>
          <w:rStyle w:val="21"/>
        </w:rPr>
        <w:t>- гематокрит</w:t>
      </w:r>
    </w:p>
    <w:p w14:paraId="39D52C80" w14:textId="77777777" w:rsidR="00BE59E0" w:rsidRDefault="00D034DE">
      <w:pPr>
        <w:pStyle w:val="20"/>
        <w:shd w:val="clear" w:color="auto" w:fill="auto"/>
        <w:spacing w:before="0" w:after="0" w:line="260" w:lineRule="exact"/>
        <w:ind w:firstLine="0"/>
        <w:jc w:val="left"/>
      </w:pPr>
      <w:r>
        <w:rPr>
          <w:rStyle w:val="21"/>
          <w:lang w:val="en-US" w:eastAsia="en-US" w:bidi="en-US"/>
        </w:rPr>
        <w:t xml:space="preserve">TNF-a </w:t>
      </w:r>
      <w:r>
        <w:rPr>
          <w:rStyle w:val="21"/>
        </w:rPr>
        <w:t>- фактор некроза опухоли альфа</w:t>
      </w:r>
    </w:p>
    <w:p w14:paraId="421906D0" w14:textId="77777777" w:rsidR="00BE59E0" w:rsidRDefault="00D034DE">
      <w:pPr>
        <w:pStyle w:val="10"/>
        <w:keepNext/>
        <w:keepLines/>
        <w:shd w:val="clear" w:color="auto" w:fill="auto"/>
        <w:spacing w:before="0" w:after="20" w:line="480" w:lineRule="exact"/>
        <w:jc w:val="center"/>
      </w:pPr>
      <w:bookmarkStart w:id="3" w:name="bookmark3"/>
      <w:r>
        <w:t>Термины и определения</w:t>
      </w:r>
      <w:bookmarkEnd w:id="3"/>
    </w:p>
    <w:p w14:paraId="55272B02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Анемия при злокачественных новообразованиях (АЗН) - это один из вариантов анемии хронических заболеваний, в основе развития которой </w:t>
      </w:r>
      <w:r>
        <w:rPr>
          <w:rStyle w:val="21"/>
        </w:rPr>
        <w:t>лежит многофакторный процесс, запускаемый взаимодействием между популяцией опухолевых клеток и иммунной системой с образованием ряда цитокинов, ответственных за относительную недостаточность эритропоэза</w:t>
      </w:r>
    </w:p>
    <w:p w14:paraId="5AA9D693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pgSz w:w="11900" w:h="16840"/>
          <w:pgMar w:top="10" w:right="248" w:bottom="404" w:left="352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>Эритропоэзстимулирующие препарат</w:t>
      </w:r>
      <w:r>
        <w:rPr>
          <w:rStyle w:val="21"/>
        </w:rPr>
        <w:t>ы (ЭСП) - группа лекарственных средств, стимулируюгцих процесс образования эритроцитов в костном мозге, которые применяются для лечения анемий (группа «ВОЗХ Другие антианемические препараты» по классификации АТХ).</w:t>
      </w:r>
    </w:p>
    <w:p w14:paraId="40999FFE" w14:textId="77777777" w:rsidR="00BE59E0" w:rsidRDefault="00D034DE">
      <w:pPr>
        <w:pStyle w:val="60"/>
        <w:numPr>
          <w:ilvl w:val="0"/>
          <w:numId w:val="3"/>
        </w:numPr>
        <w:shd w:val="clear" w:color="auto" w:fill="auto"/>
        <w:tabs>
          <w:tab w:val="left" w:pos="1340"/>
        </w:tabs>
        <w:ind w:left="420" w:firstLine="420"/>
        <w:sectPr w:rsidR="00BE59E0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lastRenderedPageBreak/>
        <w:t>Краткая информация по</w:t>
      </w:r>
      <w:r>
        <w:t xml:space="preserve"> заболеванию или состоянию (группы заболеваний или состояний)</w:t>
      </w:r>
    </w:p>
    <w:p w14:paraId="609B9DE6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headerReference w:type="even" r:id="rId8"/>
          <w:headerReference w:type="default" r:id="rId9"/>
          <w:headerReference w:type="first" r:id="rId10"/>
          <w:pgSz w:w="11900" w:h="16840"/>
          <w:pgMar w:top="1095" w:right="293" w:bottom="1095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lastRenderedPageBreak/>
        <w:t>Анемия при злокачественных новообразованиях представляет собой один из вариантов анемии хронических заболеваний (АХЗ). В ос</w:t>
      </w:r>
      <w:r>
        <w:rPr>
          <w:rStyle w:val="21"/>
        </w:rPr>
        <w:t xml:space="preserve">нове ее развития лежит многофакторный процесс, запускаемый взаимодействием между популяцией опухолевых клеток и иммунной системой с образованием ряда цитокинов, ответственных за относительную недостаточность эритропоэза </w:t>
      </w:r>
      <w:r>
        <w:rPr>
          <w:rStyle w:val="24"/>
        </w:rPr>
        <w:t>[</w:t>
      </w:r>
      <w:r>
        <w:rPr>
          <w:rStyle w:val="25"/>
        </w:rPr>
        <w:t>1</w:t>
      </w:r>
      <w:r>
        <w:rPr>
          <w:rStyle w:val="24"/>
        </w:rPr>
        <w:t>].</w:t>
      </w:r>
    </w:p>
    <w:p w14:paraId="4D057D76" w14:textId="77777777" w:rsidR="00BE59E0" w:rsidRDefault="00D034DE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lastRenderedPageBreak/>
        <w:t>Патогенез анемии у пациентов ео</w:t>
      </w:r>
      <w:r>
        <w:rPr>
          <w:rStyle w:val="21"/>
        </w:rPr>
        <w:t xml:space="preserve"> злокачеетвенными новообразованиями (ЗН) доетаточно еложен и евязан как е прямыми, так и е опоередованными эффектами опухолевого процеееа на организм. К ним отноеятея: кровотечения, инфильтрация коетного мозга (КМ) опухолевыми клетками, миелотокеичеекие эф</w:t>
      </w:r>
      <w:r>
        <w:rPr>
          <w:rStyle w:val="21"/>
        </w:rPr>
        <w:t xml:space="preserve">фекты химиотерапии </w:t>
      </w:r>
      <w:r>
        <w:rPr>
          <w:rStyle w:val="21"/>
          <w:lang w:val="en-US" w:eastAsia="en-US" w:bidi="en-US"/>
        </w:rPr>
        <w:t xml:space="preserve">(XT), </w:t>
      </w:r>
      <w:r>
        <w:rPr>
          <w:rStyle w:val="21"/>
        </w:rPr>
        <w:t>избыточная продукция провоепалительных цитокинов и евязанные е ними наругиения метаболизма железа и эритропоэза. Совокупноеть указанных патофизиологичееких реакций, выраженных в той или иной мере, приводит к нарушению процеееов про</w:t>
      </w:r>
      <w:r>
        <w:rPr>
          <w:rStyle w:val="21"/>
        </w:rPr>
        <w:t>лиферации, дифференцировки и еозревания коетномозговых эритроидных коммитированных предшеетвенников [2].</w:t>
      </w:r>
    </w:p>
    <w:p w14:paraId="66AAE9D6" w14:textId="77777777" w:rsidR="00BE59E0" w:rsidRDefault="00D034DE">
      <w:pPr>
        <w:pStyle w:val="20"/>
        <w:shd w:val="clear" w:color="auto" w:fill="auto"/>
        <w:spacing w:before="0" w:after="242" w:line="260" w:lineRule="exact"/>
        <w:ind w:firstLine="0"/>
        <w:jc w:val="both"/>
      </w:pPr>
      <w:r>
        <w:rPr>
          <w:rStyle w:val="21"/>
        </w:rPr>
        <w:t>В патогенезе анемии у пациентов ео ЗН можно выделить 3 оеновных аепекта:</w:t>
      </w:r>
    </w:p>
    <w:p w14:paraId="45D9AC01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89" w:lineRule="exact"/>
        <w:ind w:firstLine="0"/>
        <w:jc w:val="both"/>
      </w:pPr>
      <w:r>
        <w:rPr>
          <w:rStyle w:val="21"/>
        </w:rPr>
        <w:t>анемия, как проявление паранеогшаетичеекого процеееа;</w:t>
      </w:r>
    </w:p>
    <w:p w14:paraId="4AA88678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анемия, индуцированная </w:t>
      </w:r>
      <w:r>
        <w:rPr>
          <w:rStyle w:val="21"/>
          <w:lang w:val="en-US" w:eastAsia="en-US" w:bidi="en-US"/>
        </w:rPr>
        <w:t>XT</w:t>
      </w:r>
      <w:r>
        <w:rPr>
          <w:rStyle w:val="21"/>
        </w:rPr>
        <w:t>;</w:t>
      </w:r>
    </w:p>
    <w:p w14:paraId="3E3B76D8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240" w:line="389" w:lineRule="exact"/>
        <w:ind w:firstLine="0"/>
        <w:jc w:val="both"/>
      </w:pPr>
      <w:r>
        <w:rPr>
          <w:rStyle w:val="21"/>
        </w:rPr>
        <w:t>анемия, вызванная другими причинами [3].</w:t>
      </w:r>
    </w:p>
    <w:p w14:paraId="0A4B20BA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Паранеогшаетичеекий процеее характеризуетея повышенной продукцией ряда провоепалительных цитокинов, таких как фактор некроза опухоли альфа </w:t>
      </w:r>
      <w:r>
        <w:rPr>
          <w:rStyle w:val="21"/>
          <w:lang w:val="en-US" w:eastAsia="en-US" w:bidi="en-US"/>
        </w:rPr>
        <w:t xml:space="preserve">(TNF-a), </w:t>
      </w:r>
      <w:r>
        <w:rPr>
          <w:rStyle w:val="21"/>
        </w:rPr>
        <w:t xml:space="preserve">интерлейкины </w:t>
      </w:r>
      <w:r>
        <w:rPr>
          <w:rStyle w:val="21"/>
          <w:lang w:val="en-US" w:eastAsia="en-US" w:bidi="en-US"/>
        </w:rPr>
        <w:t xml:space="preserve">(IL-1, IL-6), </w:t>
      </w:r>
      <w:r>
        <w:rPr>
          <w:rStyle w:val="21"/>
        </w:rPr>
        <w:t xml:space="preserve">интерфероны </w:t>
      </w:r>
      <w:r>
        <w:rPr>
          <w:rStyle w:val="21"/>
          <w:lang w:val="en-US" w:eastAsia="en-US" w:bidi="en-US"/>
        </w:rPr>
        <w:t>(</w:t>
      </w:r>
      <w:r>
        <w:rPr>
          <w:rStyle w:val="21"/>
          <w:lang w:val="en-US" w:eastAsia="en-US" w:bidi="en-US"/>
        </w:rPr>
        <w:t xml:space="preserve">IFN-y), </w:t>
      </w:r>
      <w:r>
        <w:rPr>
          <w:rStyle w:val="21"/>
        </w:rPr>
        <w:t>которые ответетвенны за развитие анемии на фоне злокачеетвенного опухолевого процеееа [4]. Характерными патофизиологичеекими чертами АЗН являютея:</w:t>
      </w:r>
    </w:p>
    <w:p w14:paraId="7F333464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укорочение продолжительноети жизни эритроцитов, евязанное е опоередованным деиетвием </w:t>
      </w:r>
      <w:r>
        <w:rPr>
          <w:rStyle w:val="21"/>
          <w:lang w:val="en-US" w:eastAsia="en-US" w:bidi="en-US"/>
        </w:rPr>
        <w:t xml:space="preserve">TNF-anlL-l </w:t>
      </w:r>
      <w:r>
        <w:rPr>
          <w:rStyle w:val="21"/>
        </w:rPr>
        <w:t>[2,5]</w:t>
      </w:r>
      <w:r>
        <w:rPr>
          <w:rStyle w:val="21"/>
        </w:rPr>
        <w:t>;</w:t>
      </w:r>
    </w:p>
    <w:p w14:paraId="6A6DE2B3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89" w:lineRule="exact"/>
        <w:ind w:left="400"/>
        <w:jc w:val="both"/>
      </w:pPr>
      <w:r>
        <w:rPr>
          <w:rStyle w:val="21"/>
        </w:rPr>
        <w:t>нарушение метаболизма железа веледетвие повышенной продукции гепеидина, который уменьшает веаеывание железа в желудочно-кишечном тракте и нарушает его реутилизацию из клеток моноцитарно-макрофагальной еиетемы [5,6];</w:t>
      </w:r>
    </w:p>
    <w:p w14:paraId="149EEF55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0" w:line="389" w:lineRule="exact"/>
        <w:ind w:firstLine="0"/>
        <w:jc w:val="both"/>
      </w:pPr>
      <w:r>
        <w:rPr>
          <w:rStyle w:val="21"/>
        </w:rPr>
        <w:t>еупреееия эритроидных предшеетвенников</w:t>
      </w:r>
      <w:r>
        <w:rPr>
          <w:rStyle w:val="21"/>
        </w:rPr>
        <w:t xml:space="preserve">, вызванная дейетвием </w:t>
      </w:r>
      <w:r>
        <w:rPr>
          <w:rStyle w:val="21"/>
          <w:lang w:val="en-US" w:eastAsia="en-US" w:bidi="en-US"/>
        </w:rPr>
        <w:t xml:space="preserve">IL-1, TNF-a, IFN-y </w:t>
      </w:r>
      <w:r>
        <w:rPr>
          <w:rStyle w:val="21"/>
        </w:rPr>
        <w:t>[5,7];</w:t>
      </w:r>
    </w:p>
    <w:p w14:paraId="30503E7C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244" w:line="394" w:lineRule="exact"/>
        <w:ind w:left="400"/>
        <w:jc w:val="both"/>
      </w:pPr>
      <w:r>
        <w:rPr>
          <w:rStyle w:val="21"/>
        </w:rPr>
        <w:t xml:space="preserve">енижение продукции эритропоэтина (ЭПО) в почках из-за прямого ингибируюгцего дейетвия </w:t>
      </w:r>
      <w:r>
        <w:rPr>
          <w:rStyle w:val="21"/>
          <w:lang w:val="en-US" w:eastAsia="en-US" w:bidi="en-US"/>
        </w:rPr>
        <w:t xml:space="preserve">TNF-anlL-l </w:t>
      </w:r>
      <w:r>
        <w:rPr>
          <w:rStyle w:val="21"/>
        </w:rPr>
        <w:t>[6,7].</w:t>
      </w:r>
    </w:p>
    <w:p w14:paraId="1179F424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Результаты проведенных иееледований поетулируют дефектный эритропоэз, как главную причину анемии у пацие</w:t>
      </w:r>
      <w:r>
        <w:rPr>
          <w:rStyle w:val="21"/>
        </w:rPr>
        <w:t>нтов е онкологичеекими заболеваниями [4,5,8,9]. У детей е оетрыми лейкозами результаты иееледований демонетрируют еохраненную адекватную продукцию ЭПО етепени тяже ети анемии [10-14].</w:t>
      </w:r>
    </w:p>
    <w:p w14:paraId="0E97BB6F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pgSz w:w="11900" w:h="16840"/>
          <w:pgMar w:top="1078" w:right="296" w:bottom="594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Большинетво режимов </w:t>
      </w:r>
      <w:r>
        <w:rPr>
          <w:rStyle w:val="21"/>
          <w:lang w:val="en-US" w:eastAsia="en-US" w:bidi="en-US"/>
        </w:rPr>
        <w:t xml:space="preserve">XT </w:t>
      </w:r>
      <w:r>
        <w:rPr>
          <w:rStyle w:val="21"/>
        </w:rPr>
        <w:t xml:space="preserve">подавляют </w:t>
      </w:r>
      <w:r>
        <w:rPr>
          <w:rStyle w:val="21"/>
        </w:rPr>
        <w:t>пролиферацию клеток предшеетвенников гемопоэза в КМ. Ряд противоопухолевых препаратов (циегшатин**, карбогшатин**) непоередетвенно и избирательно подавляют продукцию ЭПО в почках, енижая чуветвительноеть перитубулярных фиброблаетов к гипокеии. Некоторые пр</w:t>
      </w:r>
      <w:r>
        <w:rPr>
          <w:rStyle w:val="21"/>
        </w:rPr>
        <w:t>отивоопухолевые препараты, блокируюгцие еинтез рибонуклеиновой киелоты (РНК) (антрациклины, циклофоефамид**, ифоефамид**) или еекрецию белка (винкриетин**), вызывают угнетение еинтеза ЭПО [15-19].</w:t>
      </w:r>
    </w:p>
    <w:p w14:paraId="6DFE4732" w14:textId="77777777" w:rsidR="00BE59E0" w:rsidRDefault="00D034DE">
      <w:pPr>
        <w:pStyle w:val="20"/>
        <w:shd w:val="clear" w:color="auto" w:fill="auto"/>
        <w:spacing w:before="0" w:after="244" w:line="260" w:lineRule="exact"/>
        <w:ind w:firstLine="0"/>
        <w:jc w:val="left"/>
      </w:pPr>
      <w:r>
        <w:rPr>
          <w:rStyle w:val="21"/>
        </w:rPr>
        <w:lastRenderedPageBreak/>
        <w:t>Другими причинами развития анемии у пациентов ео ЗН могут б</w:t>
      </w:r>
      <w:r>
        <w:rPr>
          <w:rStyle w:val="21"/>
        </w:rPr>
        <w:t>ыть:</w:t>
      </w:r>
    </w:p>
    <w:p w14:paraId="4EFE3A01" w14:textId="77777777" w:rsidR="00BE59E0" w:rsidRDefault="00D034DE">
      <w:pPr>
        <w:pStyle w:val="20"/>
        <w:shd w:val="clear" w:color="auto" w:fill="auto"/>
        <w:spacing w:before="0" w:after="0" w:line="389" w:lineRule="exact"/>
        <w:ind w:left="380" w:firstLine="0"/>
        <w:jc w:val="left"/>
      </w:pPr>
      <w:r>
        <w:rPr>
          <w:rStyle w:val="21"/>
        </w:rPr>
        <w:t>кровотечения (экзогенные кровотечения, внутриопухолевые кровоизлияния); гемолиз (аутоимунный, микроангиопатичеекий);</w:t>
      </w:r>
    </w:p>
    <w:p w14:paraId="0A04277C" w14:textId="77777777" w:rsidR="00BE59E0" w:rsidRDefault="00D034DE">
      <w:pPr>
        <w:pStyle w:val="20"/>
        <w:shd w:val="clear" w:color="auto" w:fill="auto"/>
        <w:spacing w:before="0" w:after="0" w:line="389" w:lineRule="exact"/>
        <w:ind w:left="380" w:firstLine="0"/>
        <w:jc w:val="left"/>
      </w:pPr>
      <w:r>
        <w:rPr>
          <w:rStyle w:val="21"/>
        </w:rPr>
        <w:t>вытеенение нормальных роетков кроветворения в КМ опухолевыми клетками при</w:t>
      </w:r>
    </w:p>
    <w:p w14:paraId="5C6B81D5" w14:textId="77777777" w:rsidR="00BE59E0" w:rsidRDefault="00D034DE">
      <w:pPr>
        <w:pStyle w:val="20"/>
        <w:shd w:val="clear" w:color="auto" w:fill="auto"/>
        <w:spacing w:before="0" w:after="0" w:line="389" w:lineRule="exact"/>
        <w:ind w:left="380" w:firstLine="0"/>
        <w:jc w:val="left"/>
      </w:pPr>
      <w:r>
        <w:rPr>
          <w:rStyle w:val="21"/>
        </w:rPr>
        <w:t>гемоблаетозах или метаетазах солидных опухолей;</w:t>
      </w:r>
    </w:p>
    <w:p w14:paraId="2360B4A7" w14:textId="77777777" w:rsidR="00BE59E0" w:rsidRDefault="00D034DE">
      <w:pPr>
        <w:pStyle w:val="20"/>
        <w:shd w:val="clear" w:color="auto" w:fill="auto"/>
        <w:spacing w:before="0" w:after="0" w:line="389" w:lineRule="exact"/>
        <w:ind w:left="380" w:firstLine="0"/>
        <w:jc w:val="left"/>
      </w:pPr>
      <w:r>
        <w:rPr>
          <w:rStyle w:val="21"/>
        </w:rPr>
        <w:t>дефицит железа, фолатов, витамина В12;</w:t>
      </w:r>
    </w:p>
    <w:p w14:paraId="4FFF3033" w14:textId="77777777" w:rsidR="00BE59E0" w:rsidRDefault="00D034DE">
      <w:pPr>
        <w:pStyle w:val="20"/>
        <w:shd w:val="clear" w:color="auto" w:fill="auto"/>
        <w:spacing w:before="0" w:after="0" w:line="389" w:lineRule="exact"/>
        <w:ind w:left="380" w:firstLine="0"/>
        <w:jc w:val="left"/>
      </w:pPr>
      <w:r>
        <w:rPr>
          <w:rStyle w:val="21"/>
        </w:rPr>
        <w:t>нарушение функции почек;</w:t>
      </w:r>
    </w:p>
    <w:p w14:paraId="0BE903F3" w14:textId="77777777" w:rsidR="00BE59E0" w:rsidRDefault="00D034DE">
      <w:pPr>
        <w:pStyle w:val="20"/>
        <w:shd w:val="clear" w:color="auto" w:fill="auto"/>
        <w:spacing w:before="0" w:after="0" w:line="389" w:lineRule="exact"/>
        <w:ind w:left="380" w:firstLine="0"/>
        <w:jc w:val="left"/>
        <w:sectPr w:rsidR="00BE59E0">
          <w:headerReference w:type="even" r:id="rId11"/>
          <w:headerReference w:type="default" r:id="rId12"/>
          <w:headerReference w:type="first" r:id="rId13"/>
          <w:pgSz w:w="11900" w:h="16840"/>
          <w:pgMar w:top="1078" w:right="296" w:bottom="594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интеркуррентные заболевания [20].</w:t>
      </w:r>
    </w:p>
    <w:p w14:paraId="05493894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 xml:space="preserve">Анемия является одной из самых частых </w:t>
      </w:r>
      <w:r>
        <w:rPr>
          <w:rStyle w:val="21"/>
        </w:rPr>
        <w:t>проблем во время лечения пациентов со ЗН и часто присутствует уже при постановке диагноза. В частности, проведенный в Европе анализ у детей со ЗН, охвативший 18 крупных детских онкологических центров и включивший данные о 25093 пациентах, показал, что сред</w:t>
      </w:r>
      <w:r>
        <w:rPr>
          <w:rStyle w:val="21"/>
        </w:rPr>
        <w:t>и детей со ЗН независимо от типа опухоли анемичными являются более 80%, тогда как у детей с острым лейкозом анемия регистрируется в 97% случаев.</w:t>
      </w:r>
    </w:p>
    <w:p w14:paraId="650C3B30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pgSz w:w="11900" w:h="16840"/>
          <w:pgMar w:top="1095" w:right="303" w:bottom="109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На фоне интенсивной противоопухолевой терапии распространенность анемии у пациентов значит</w:t>
      </w:r>
      <w:r>
        <w:rPr>
          <w:rStyle w:val="21"/>
        </w:rPr>
        <w:t xml:space="preserve">ельно возрастает, при этом тяжесть анемии и соответственно потребность в заместительной гемотрансфузионной терапии увеличиваются с повышением интенсивности </w:t>
      </w:r>
      <w:r>
        <w:rPr>
          <w:rStyle w:val="21"/>
          <w:lang w:val="en-US" w:eastAsia="en-US" w:bidi="en-US"/>
        </w:rPr>
        <w:t xml:space="preserve">XT </w:t>
      </w:r>
      <w:r>
        <w:rPr>
          <w:rStyle w:val="21"/>
        </w:rPr>
        <w:t>[21]. Таким образом, анемия является одним из частых проявлений злокачественного неопластического</w:t>
      </w:r>
      <w:r>
        <w:rPr>
          <w:rStyle w:val="21"/>
        </w:rPr>
        <w:t xml:space="preserve"> процесса у пациентов со ЗН, а также частым осложнением проводимого им химиотерапевтического лечения.</w:t>
      </w:r>
    </w:p>
    <w:p w14:paraId="21478DD6" w14:textId="77777777" w:rsidR="00BE59E0" w:rsidRDefault="00D034DE">
      <w:pPr>
        <w:pStyle w:val="60"/>
        <w:numPr>
          <w:ilvl w:val="0"/>
          <w:numId w:val="4"/>
        </w:numPr>
        <w:shd w:val="clear" w:color="auto" w:fill="auto"/>
        <w:tabs>
          <w:tab w:val="left" w:pos="1170"/>
        </w:tabs>
        <w:spacing w:after="223" w:line="389" w:lineRule="exact"/>
        <w:ind w:firstLine="580"/>
      </w:pPr>
      <w:r>
        <w:lastRenderedPageBreak/>
        <w:t>Особенности кодирования заболевания или состояния (группы заболеваний или состояний) по Международной статической класификации болезней и проблем, связанн</w:t>
      </w:r>
      <w:r>
        <w:t>ых со здоровьем</w:t>
      </w:r>
    </w:p>
    <w:p w14:paraId="511905B6" w14:textId="77777777" w:rsidR="00BE59E0" w:rsidRDefault="00D034DE">
      <w:pPr>
        <w:pStyle w:val="20"/>
        <w:shd w:val="clear" w:color="auto" w:fill="auto"/>
        <w:spacing w:before="0" w:after="0" w:line="260" w:lineRule="exact"/>
        <w:ind w:firstLine="0"/>
        <w:jc w:val="left"/>
        <w:sectPr w:rsidR="00BE59E0">
          <w:pgSz w:w="11900" w:h="16840"/>
          <w:pgMar w:top="10" w:right="370" w:bottom="10" w:left="308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 xml:space="preserve">D63.0 </w:t>
      </w:r>
      <w:r>
        <w:rPr>
          <w:rStyle w:val="21"/>
        </w:rPr>
        <w:t>- Анемия при новообразованиях</w:t>
      </w:r>
    </w:p>
    <w:p w14:paraId="47FCEF15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В зависимости от выраженности снижения концентрации гемоглобина (НЬ) общепризнано выделять три етепени тяжеети анемии:</w:t>
      </w:r>
    </w:p>
    <w:p w14:paraId="4D6CDBE9" w14:textId="77777777" w:rsidR="00BE59E0" w:rsidRDefault="00D034DE">
      <w:pPr>
        <w:pStyle w:val="20"/>
        <w:shd w:val="clear" w:color="auto" w:fill="auto"/>
        <w:spacing w:before="0" w:after="0" w:line="389" w:lineRule="exact"/>
        <w:ind w:left="380" w:right="5320" w:firstLine="0"/>
        <w:jc w:val="left"/>
        <w:sectPr w:rsidR="00BE59E0">
          <w:headerReference w:type="even" r:id="rId14"/>
          <w:headerReference w:type="default" r:id="rId15"/>
          <w:headerReference w:type="first" r:id="rId16"/>
          <w:pgSz w:w="11900" w:h="16840"/>
          <w:pgMar w:top="1095" w:right="313" w:bottom="1095" w:left="308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легкая - концентрация НЬ выше </w:t>
      </w:r>
      <w:r>
        <w:rPr>
          <w:rStyle w:val="21"/>
        </w:rPr>
        <w:t>90 г/л; ередняя - концентрация НЬ в пределах 90-70 г/л; тяжелая - концентрация НЬ менее 70 г/л.</w:t>
      </w:r>
    </w:p>
    <w:p w14:paraId="643D46F8" w14:textId="77777777" w:rsidR="00BE59E0" w:rsidRDefault="00D034DE">
      <w:pPr>
        <w:pStyle w:val="20"/>
        <w:shd w:val="clear" w:color="auto" w:fill="auto"/>
        <w:spacing w:before="0" w:after="0" w:line="394" w:lineRule="exact"/>
        <w:ind w:firstLine="0"/>
        <w:jc w:val="both"/>
        <w:sectPr w:rsidR="00BE59E0">
          <w:pgSz w:w="11900" w:h="16840"/>
          <w:pgMar w:top="1095" w:right="313" w:bottom="1095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lastRenderedPageBreak/>
        <w:t>Основными клиническими проявлениями анемии являютея бледноеть, уеиленное еердцебиение, шум в ушах, головная боль, елабоеть.</w:t>
      </w:r>
    </w:p>
    <w:p w14:paraId="1DD88352" w14:textId="77777777" w:rsidR="00BE59E0" w:rsidRDefault="00D034D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69"/>
        </w:tabs>
        <w:spacing w:before="0" w:after="0" w:line="389" w:lineRule="exact"/>
        <w:ind w:firstLine="980"/>
      </w:pPr>
      <w:bookmarkStart w:id="4" w:name="bookmark4"/>
      <w:r>
        <w:lastRenderedPageBreak/>
        <w:t>Диагностика заб</w:t>
      </w:r>
      <w:r>
        <w:t>олевания или состояния (группы заболеваний или еостояний) медицинские показания и противопоказания к применению</w:t>
      </w:r>
      <w:bookmarkEnd w:id="4"/>
    </w:p>
    <w:p w14:paraId="1632917F" w14:textId="77777777" w:rsidR="00BE59E0" w:rsidRDefault="00D034DE">
      <w:pPr>
        <w:pStyle w:val="10"/>
        <w:keepNext/>
        <w:keepLines/>
        <w:shd w:val="clear" w:color="auto" w:fill="auto"/>
        <w:spacing w:before="0" w:after="120" w:line="389" w:lineRule="exact"/>
        <w:ind w:right="20"/>
        <w:jc w:val="center"/>
      </w:pPr>
      <w:bookmarkStart w:id="5" w:name="bookmark5"/>
      <w:r>
        <w:t>методов диагностики</w:t>
      </w:r>
      <w:bookmarkEnd w:id="5"/>
    </w:p>
    <w:p w14:paraId="2D046B29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Диагноз анемии при злокачественных новообразованиях основывается на характерной клинико</w:t>
      </w:r>
      <w:r>
        <w:rPr>
          <w:rStyle w:val="71"/>
          <w:i/>
          <w:iCs/>
        </w:rPr>
        <w:softHyphen/>
        <w:t>гематологической картине анемии, ана</w:t>
      </w:r>
      <w:r>
        <w:rPr>
          <w:rStyle w:val="71"/>
          <w:i/>
          <w:iCs/>
        </w:rPr>
        <w:t>мнестических данных о наличии злокачественного новообразования и исключения иных причин анемии.</w:t>
      </w:r>
    </w:p>
    <w:p w14:paraId="1D8FDC50" w14:textId="77777777" w:rsidR="00BE59E0" w:rsidRDefault="00D034DE">
      <w:pPr>
        <w:pStyle w:val="70"/>
        <w:shd w:val="clear" w:color="auto" w:fill="auto"/>
        <w:spacing w:before="0" w:after="0"/>
        <w:ind w:firstLine="0"/>
        <w:sectPr w:rsidR="00BE59E0">
          <w:headerReference w:type="even" r:id="rId17"/>
          <w:headerReference w:type="default" r:id="rId18"/>
          <w:headerReference w:type="first" r:id="rId19"/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Основным диагностическим критерием анемии является снижение концентрации НЬ в крови менее ПО г/л.</w:t>
      </w:r>
    </w:p>
    <w:p w14:paraId="3303A96D" w14:textId="77777777" w:rsidR="00BE59E0" w:rsidRDefault="00D034D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3987"/>
        </w:tabs>
        <w:spacing w:before="0" w:after="80" w:line="480" w:lineRule="exact"/>
        <w:ind w:left="3240"/>
        <w:jc w:val="both"/>
      </w:pPr>
      <w:bookmarkStart w:id="6" w:name="bookmark6"/>
      <w:r>
        <w:lastRenderedPageBreak/>
        <w:t>Жалобы и анамнез</w:t>
      </w:r>
      <w:bookmarkEnd w:id="6"/>
    </w:p>
    <w:p w14:paraId="2E879590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Всем пациентам е подозрением на анемию злокачеетвенных новообразований, а также веем пациентам уетановленным диагнозом анемии злокачеетвенных новообразований на каждом врачебном приеме </w:t>
      </w:r>
      <w:r>
        <w:rPr>
          <w:rStyle w:val="22"/>
        </w:rPr>
        <w:t xml:space="preserve">рекомендуется </w:t>
      </w:r>
      <w:r>
        <w:rPr>
          <w:rStyle w:val="21"/>
        </w:rPr>
        <w:t>ебор анамнеза и жалоб при заболеваниях органов кроветворе</w:t>
      </w:r>
      <w:r>
        <w:rPr>
          <w:rStyle w:val="21"/>
        </w:rPr>
        <w:t>ния и крови для оценки еоетояния пациента, а также для иеключения возможных других причин анемии [22].</w:t>
      </w:r>
    </w:p>
    <w:p w14:paraId="22817C6C" w14:textId="77777777" w:rsidR="00BE59E0" w:rsidRDefault="00D034DE">
      <w:pPr>
        <w:pStyle w:val="50"/>
        <w:shd w:val="clear" w:color="auto" w:fill="auto"/>
        <w:spacing w:before="0" w:after="0" w:line="658" w:lineRule="exact"/>
        <w:ind w:left="400"/>
      </w:pPr>
      <w:r>
        <w:rPr>
          <w:rStyle w:val="51"/>
          <w:b/>
          <w:bCs/>
        </w:rPr>
        <w:t>Уровень убедительности рекомендаций С (уровень достоверности доказательств 5).</w:t>
      </w:r>
    </w:p>
    <w:p w14:paraId="5C8EFD2B" w14:textId="77777777" w:rsidR="00BE59E0" w:rsidRDefault="00D034DE">
      <w:pPr>
        <w:pStyle w:val="70"/>
        <w:shd w:val="clear" w:color="auto" w:fill="auto"/>
        <w:spacing w:before="0" w:after="0" w:line="658" w:lineRule="exact"/>
        <w:ind w:left="400" w:hanging="400"/>
      </w:pPr>
      <w:r>
        <w:rPr>
          <w:rStyle w:val="72"/>
        </w:rPr>
        <w:t xml:space="preserve">Комментарий: </w:t>
      </w:r>
      <w:r>
        <w:rPr>
          <w:rStyle w:val="71"/>
          <w:i/>
          <w:iCs/>
        </w:rPr>
        <w:t xml:space="preserve">при сборе у пациента жалоб выясняют наличие у него следующих </w:t>
      </w:r>
      <w:r>
        <w:rPr>
          <w:rStyle w:val="71"/>
          <w:i/>
          <w:iCs/>
        </w:rPr>
        <w:t>симптомов:</w:t>
      </w:r>
    </w:p>
    <w:p w14:paraId="749354D4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658" w:lineRule="exact"/>
        <w:ind w:left="400" w:hanging="400"/>
      </w:pPr>
      <w:r>
        <w:rPr>
          <w:rStyle w:val="71"/>
          <w:i/>
          <w:iCs/>
        </w:rPr>
        <w:t>сердцебиение, одышка, усиливающиеся при физической нагрузке;</w:t>
      </w:r>
    </w:p>
    <w:p w14:paraId="532A2CAB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107" w:line="260" w:lineRule="exact"/>
        <w:ind w:left="400" w:hanging="400"/>
      </w:pPr>
      <w:r>
        <w:rPr>
          <w:rStyle w:val="71"/>
          <w:i/>
          <w:iCs/>
        </w:rPr>
        <w:t>головокружение, шум в ушах;</w:t>
      </w:r>
    </w:p>
    <w:p w14:paraId="14008C71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7" w:line="260" w:lineRule="exact"/>
        <w:ind w:left="400" w:hanging="400"/>
      </w:pPr>
      <w:r>
        <w:rPr>
          <w:rStyle w:val="71"/>
          <w:i/>
          <w:iCs/>
        </w:rPr>
        <w:t>слабость, повышенная утомляемость.</w:t>
      </w:r>
    </w:p>
    <w:p w14:paraId="7418893D" w14:textId="77777777" w:rsidR="00BE59E0" w:rsidRDefault="00D034DE">
      <w:pPr>
        <w:pStyle w:val="70"/>
        <w:shd w:val="clear" w:color="auto" w:fill="auto"/>
        <w:spacing w:before="0" w:after="244" w:line="260" w:lineRule="exact"/>
        <w:ind w:left="400" w:hanging="400"/>
      </w:pPr>
      <w:r>
        <w:rPr>
          <w:rStyle w:val="71"/>
          <w:i/>
          <w:iCs/>
        </w:rPr>
        <w:t>При сборе у пациента анамнеза выясняют наличие возможных других причин анемии:</w:t>
      </w:r>
    </w:p>
    <w:p w14:paraId="6C55E038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left="400" w:hanging="400"/>
      </w:pPr>
      <w:r>
        <w:rPr>
          <w:rStyle w:val="71"/>
          <w:i/>
          <w:iCs/>
        </w:rPr>
        <w:t xml:space="preserve">кровотечения (острые и </w:t>
      </w:r>
      <w:r>
        <w:rPr>
          <w:rStyle w:val="71"/>
          <w:i/>
          <w:iCs/>
        </w:rPr>
        <w:t>хронические);</w:t>
      </w:r>
    </w:p>
    <w:p w14:paraId="3587B650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left="400" w:hanging="400"/>
      </w:pPr>
      <w:r>
        <w:rPr>
          <w:rStyle w:val="71"/>
          <w:i/>
          <w:iCs/>
        </w:rPr>
        <w:t>гемолиз (аутоиммунный, микроангиопатический);</w:t>
      </w:r>
    </w:p>
    <w:p w14:paraId="3269D92E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left="400" w:hanging="400"/>
      </w:pPr>
      <w:r>
        <w:rPr>
          <w:rStyle w:val="71"/>
          <w:i/>
          <w:iCs/>
        </w:rPr>
        <w:t>интеркуррентные заболевания (инфекционно-воспалительные, болезни почек);</w:t>
      </w:r>
    </w:p>
    <w:p w14:paraId="21BD8371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left="400" w:hanging="400"/>
        <w:sectPr w:rsidR="00BE59E0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дефицит железа, фолатов, витамина В12 (алиментарный фактор, нарушенная абсорбция).</w:t>
      </w:r>
    </w:p>
    <w:p w14:paraId="7E6855B2" w14:textId="77777777" w:rsidR="00BE59E0" w:rsidRDefault="00D034D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3090"/>
        </w:tabs>
        <w:spacing w:before="0" w:after="24" w:line="480" w:lineRule="exact"/>
        <w:ind w:left="2320"/>
        <w:jc w:val="both"/>
      </w:pPr>
      <w:bookmarkStart w:id="7" w:name="bookmark7"/>
      <w:r>
        <w:lastRenderedPageBreak/>
        <w:t>Физикальное обследование</w:t>
      </w:r>
      <w:bookmarkEnd w:id="7"/>
    </w:p>
    <w:p w14:paraId="03AC9118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339" w:line="384" w:lineRule="exact"/>
        <w:ind w:left="400"/>
        <w:jc w:val="both"/>
      </w:pPr>
      <w:r>
        <w:rPr>
          <w:rStyle w:val="21"/>
        </w:rPr>
        <w:t xml:space="preserve">Всем пациентам е подозрением на анемию злокачеетвенных новообразований, а также веем пациентам е уетановленным диагнозом анемии злокачеетвенных новообразований на каждом врачебном приеме </w:t>
      </w:r>
      <w:r>
        <w:rPr>
          <w:rStyle w:val="22"/>
        </w:rPr>
        <w:t xml:space="preserve">рекомендуется </w:t>
      </w:r>
      <w:r>
        <w:rPr>
          <w:rStyle w:val="21"/>
        </w:rPr>
        <w:t>визуальное иееледование, пальп</w:t>
      </w:r>
      <w:r>
        <w:rPr>
          <w:rStyle w:val="21"/>
        </w:rPr>
        <w:t>ация, перкуееия при заболеваниях органов кроветворения и крови [22].</w:t>
      </w:r>
    </w:p>
    <w:p w14:paraId="0E46E9EA" w14:textId="77777777" w:rsidR="00BE59E0" w:rsidRDefault="00D034D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Уровень убедительности рекомендаций С (уровень достоверности доказательств 5).</w:t>
      </w:r>
    </w:p>
    <w:p w14:paraId="51885F38" w14:textId="77777777" w:rsidR="00BE59E0" w:rsidRDefault="00D034DE">
      <w:pPr>
        <w:pStyle w:val="70"/>
        <w:shd w:val="clear" w:color="auto" w:fill="auto"/>
        <w:tabs>
          <w:tab w:val="left" w:pos="2011"/>
        </w:tabs>
        <w:spacing w:before="0" w:after="0"/>
        <w:ind w:firstLine="0"/>
      </w:pPr>
      <w:r>
        <w:rPr>
          <w:rStyle w:val="72"/>
        </w:rPr>
        <w:t>Комментарий:</w:t>
      </w:r>
      <w:r>
        <w:rPr>
          <w:rStyle w:val="72"/>
        </w:rPr>
        <w:tab/>
      </w:r>
      <w:r>
        <w:rPr>
          <w:rStyle w:val="71"/>
          <w:i/>
          <w:iCs/>
        </w:rPr>
        <w:t>общий осмотр подразумевает оценку общего физического состояния,</w:t>
      </w:r>
    </w:p>
    <w:p w14:paraId="77B9BD6F" w14:textId="77777777" w:rsidR="00BE59E0" w:rsidRDefault="00D034DE">
      <w:pPr>
        <w:pStyle w:val="70"/>
        <w:shd w:val="clear" w:color="auto" w:fill="auto"/>
        <w:spacing w:before="0" w:after="343"/>
        <w:ind w:firstLine="0"/>
      </w:pPr>
      <w:r>
        <w:rPr>
          <w:rStyle w:val="71"/>
          <w:i/>
          <w:iCs/>
        </w:rPr>
        <w:t xml:space="preserve">симптомов гемической гипоксии, </w:t>
      </w:r>
      <w:r>
        <w:rPr>
          <w:rStyle w:val="71"/>
          <w:i/>
          <w:iCs/>
        </w:rPr>
        <w:t>возможных признаков декомпенсации анемического синдрома.</w:t>
      </w:r>
    </w:p>
    <w:p w14:paraId="2BA54037" w14:textId="77777777" w:rsidR="00BE59E0" w:rsidRDefault="00D034DE">
      <w:pPr>
        <w:pStyle w:val="70"/>
        <w:shd w:val="clear" w:color="auto" w:fill="auto"/>
        <w:spacing w:before="0" w:after="244" w:line="260" w:lineRule="exact"/>
        <w:ind w:firstLine="0"/>
      </w:pPr>
      <w:r>
        <w:rPr>
          <w:rStyle w:val="71"/>
          <w:i/>
          <w:iCs/>
        </w:rPr>
        <w:t>При физикалъном обследовании обращают внимание на выявлении следующих признаков:</w:t>
      </w:r>
    </w:p>
    <w:p w14:paraId="7D9D3F3D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/>
        <w:ind w:left="400" w:hanging="400"/>
      </w:pPr>
      <w:r>
        <w:rPr>
          <w:rStyle w:val="71"/>
          <w:i/>
          <w:iCs/>
        </w:rPr>
        <w:t>бледность кожных покровов, видимых слизистых (желтушностъ кожи и слизистых при гемолизе);</w:t>
      </w:r>
    </w:p>
    <w:p w14:paraId="14900F62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/>
        <w:ind w:left="400" w:hanging="400"/>
      </w:pPr>
      <w:r>
        <w:rPr>
          <w:rStyle w:val="71"/>
          <w:i/>
          <w:iCs/>
        </w:rPr>
        <w:t>тахикардия, тахипноэ;</w:t>
      </w:r>
    </w:p>
    <w:p w14:paraId="75AADEC4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/>
        <w:ind w:left="400" w:hanging="400"/>
      </w:pPr>
      <w:r>
        <w:rPr>
          <w:rStyle w:val="71"/>
          <w:i/>
          <w:iCs/>
        </w:rPr>
        <w:t>приглушенность сердечных тонов, систолический шум на верхушке сердца и над крупными сосудами;</w:t>
      </w:r>
    </w:p>
    <w:p w14:paraId="3730FFF0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75"/>
        </w:tabs>
        <w:spacing w:before="0"/>
        <w:ind w:left="400" w:hanging="400"/>
      </w:pPr>
      <w:r>
        <w:rPr>
          <w:rStyle w:val="71"/>
          <w:i/>
          <w:iCs/>
        </w:rPr>
        <w:t>вялость.</w:t>
      </w:r>
    </w:p>
    <w:p w14:paraId="6DD7620B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Следует отметить, что большинство жалоб и симптомов являются неспецифическими признаками анемии, которые накладываются на симптомы основного заболевания,</w:t>
      </w:r>
      <w:r>
        <w:rPr>
          <w:rStyle w:val="71"/>
          <w:i/>
          <w:iCs/>
        </w:rPr>
        <w:t xml:space="preserve"> опухолевой интоксикации и побочные эффекты проводимой химиотерапии </w:t>
      </w:r>
      <w:r>
        <w:rPr>
          <w:rStyle w:val="71"/>
          <w:i/>
          <w:iCs/>
          <w:lang w:val="en-US" w:eastAsia="en-US" w:bidi="en-US"/>
        </w:rPr>
        <w:t>(XT).</w:t>
      </w:r>
    </w:p>
    <w:p w14:paraId="7AD92140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Кроме того, следует иметь в виду, что дети могут быть более толерантными к анемии, чем взрослые. Это обусловлено отчасти большим сердечно-легочным резервом и отсутствием коронарных з</w:t>
      </w:r>
      <w:r>
        <w:rPr>
          <w:rStyle w:val="71"/>
          <w:i/>
          <w:iCs/>
        </w:rPr>
        <w:t>аболеваний, а также сравнительно быстрой компенсацией потери кислородтранспортной способности (смещение кислородтранспортной кривой вправо и снижение сродства гемоглобина к кислороду). Таким образом, компенсаторные механизмы хронической анемии у детей обес</w:t>
      </w:r>
      <w:r>
        <w:rPr>
          <w:rStyle w:val="71"/>
          <w:i/>
          <w:iCs/>
        </w:rPr>
        <w:t>печивают толерантность к очень низким концентрациям НЬ при наличии небольшого количества симптомов или вообще при их отсутствии, особенно если анемия развивается медленно в течение недель или месяцев.</w:t>
      </w:r>
    </w:p>
    <w:p w14:paraId="76DD8BC2" w14:textId="77777777" w:rsidR="00BE59E0" w:rsidRDefault="00D034DE">
      <w:pPr>
        <w:pStyle w:val="70"/>
        <w:shd w:val="clear" w:color="auto" w:fill="auto"/>
        <w:spacing w:before="0" w:after="343"/>
        <w:ind w:firstLine="0"/>
      </w:pPr>
      <w:r>
        <w:rPr>
          <w:rStyle w:val="71"/>
          <w:i/>
          <w:iCs/>
        </w:rPr>
        <w:t>Однако многие факторы могут провоцировать декомпенсацию</w:t>
      </w:r>
      <w:r>
        <w:rPr>
          <w:rStyle w:val="71"/>
          <w:i/>
          <w:iCs/>
        </w:rPr>
        <w:t xml:space="preserve"> у ребенка с анемией и приводить к гипоксии тканей и органов, которая угрожает жизни.</w:t>
      </w:r>
    </w:p>
    <w:p w14:paraId="2C4786E4" w14:textId="77777777" w:rsidR="00BE59E0" w:rsidRDefault="00D034DE">
      <w:pPr>
        <w:pStyle w:val="70"/>
        <w:shd w:val="clear" w:color="auto" w:fill="auto"/>
        <w:spacing w:before="0" w:after="244" w:line="260" w:lineRule="exact"/>
        <w:ind w:left="400" w:hanging="400"/>
      </w:pPr>
      <w:r>
        <w:rPr>
          <w:rStyle w:val="71"/>
          <w:i/>
          <w:iCs/>
        </w:rPr>
        <w:t>Причины декомпенсации хронической анемии:</w:t>
      </w:r>
    </w:p>
    <w:p w14:paraId="4F0EA494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/>
        <w:ind w:left="400" w:hanging="400"/>
      </w:pPr>
      <w:r>
        <w:rPr>
          <w:rStyle w:val="71"/>
          <w:i/>
          <w:iCs/>
        </w:rPr>
        <w:t>повышенная потребность в кислороде вследствие инфекции, боли, лихорадки;</w:t>
      </w:r>
    </w:p>
    <w:p w14:paraId="7FCCB41A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343"/>
        <w:ind w:left="400" w:hanging="400"/>
      </w:pPr>
      <w:r>
        <w:rPr>
          <w:rStyle w:val="71"/>
          <w:i/>
          <w:iCs/>
        </w:rPr>
        <w:t>дальнейшее снижение снабжения тканей кислородом вследст</w:t>
      </w:r>
      <w:r>
        <w:rPr>
          <w:rStyle w:val="71"/>
          <w:i/>
          <w:iCs/>
        </w:rPr>
        <w:t>вие острой кровопотери, пневмонии.</w:t>
      </w:r>
    </w:p>
    <w:p w14:paraId="6B2650B0" w14:textId="77777777" w:rsidR="00BE59E0" w:rsidRDefault="00D034DE">
      <w:pPr>
        <w:pStyle w:val="70"/>
        <w:shd w:val="clear" w:color="auto" w:fill="auto"/>
        <w:spacing w:before="0" w:after="0" w:line="260" w:lineRule="exact"/>
        <w:ind w:left="400" w:hanging="400"/>
      </w:pPr>
      <w:r>
        <w:rPr>
          <w:rStyle w:val="71"/>
          <w:i/>
          <w:iCs/>
        </w:rPr>
        <w:t>Ранние признаки декомпенсации:</w:t>
      </w:r>
    </w:p>
    <w:p w14:paraId="37F26AE5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left="420"/>
        <w:jc w:val="left"/>
      </w:pPr>
      <w:r>
        <w:rPr>
          <w:rStyle w:val="71"/>
          <w:i/>
          <w:iCs/>
        </w:rPr>
        <w:t xml:space="preserve">затрудненное, быстрое дыхание с межреберным, подреберным и надгрудинным втяжением </w:t>
      </w:r>
      <w:r>
        <w:rPr>
          <w:rStyle w:val="71"/>
          <w:i/>
          <w:iCs/>
        </w:rPr>
        <w:lastRenderedPageBreak/>
        <w:t>(респираторный дистресс);</w:t>
      </w:r>
    </w:p>
    <w:p w14:paraId="69FBAFE0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71"/>
          <w:i/>
          <w:iCs/>
        </w:rPr>
        <w:t>усиленное использование мышц живота для дыхания;</w:t>
      </w:r>
    </w:p>
    <w:p w14:paraId="779718A9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3"/>
        <w:ind w:firstLine="0"/>
      </w:pPr>
      <w:r>
        <w:rPr>
          <w:rStyle w:val="71"/>
          <w:i/>
          <w:iCs/>
        </w:rPr>
        <w:t>раздувание крыльев носа.</w:t>
      </w:r>
    </w:p>
    <w:p w14:paraId="7A9A07FF" w14:textId="77777777" w:rsidR="00BE59E0" w:rsidRDefault="00D034DE">
      <w:pPr>
        <w:pStyle w:val="70"/>
        <w:shd w:val="clear" w:color="auto" w:fill="auto"/>
        <w:spacing w:before="0" w:after="244" w:line="260" w:lineRule="exact"/>
        <w:ind w:firstLine="0"/>
      </w:pPr>
      <w:r>
        <w:rPr>
          <w:rStyle w:val="71"/>
          <w:i/>
          <w:iCs/>
        </w:rPr>
        <w:t>Признаки острой декомпенсации:</w:t>
      </w:r>
    </w:p>
    <w:p w14:paraId="0231C48A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71"/>
          <w:i/>
          <w:iCs/>
        </w:rPr>
        <w:t>форсированный ("стонущий") выдох (респираторный дистресс);</w:t>
      </w:r>
    </w:p>
    <w:p w14:paraId="4A4DA232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71"/>
          <w:i/>
          <w:iCs/>
        </w:rPr>
        <w:t>изменение психического состояния;</w:t>
      </w:r>
    </w:p>
    <w:p w14:paraId="1F543D9F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71"/>
          <w:i/>
          <w:iCs/>
        </w:rPr>
        <w:t>ослабление периферического пульса;</w:t>
      </w:r>
    </w:p>
    <w:p w14:paraId="7DCCC4FD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71"/>
          <w:i/>
          <w:iCs/>
        </w:rPr>
        <w:t>застойная сердечная недостаточность;</w:t>
      </w:r>
    </w:p>
    <w:p w14:paraId="33AE2203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ind w:firstLine="0"/>
      </w:pPr>
      <w:r>
        <w:rPr>
          <w:rStyle w:val="71"/>
          <w:i/>
          <w:iCs/>
        </w:rPr>
        <w:t>гепатомегалия;</w:t>
      </w:r>
    </w:p>
    <w:p w14:paraId="3A5B898F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236"/>
        <w:ind w:firstLine="0"/>
      </w:pPr>
      <w:r>
        <w:rPr>
          <w:rStyle w:val="71"/>
          <w:i/>
          <w:iCs/>
        </w:rPr>
        <w:t>плохая периферическая перфузия (время повторн</w:t>
      </w:r>
      <w:r>
        <w:rPr>
          <w:rStyle w:val="71"/>
          <w:i/>
          <w:iCs/>
        </w:rPr>
        <w:t>ого наполнения капилляров больше 2 сек.).</w:t>
      </w:r>
    </w:p>
    <w:p w14:paraId="64B8FCD4" w14:textId="77777777" w:rsidR="00BE59E0" w:rsidRDefault="00D034DE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1"/>
          <w:i/>
          <w:iCs/>
        </w:rPr>
        <w:t>Ребенок с этими клиническими признаками срочно нуждается в терапии, так как имеется высокий риск смерти из-за недостаточной кислородтранспортной способности.</w:t>
      </w:r>
    </w:p>
    <w:p w14:paraId="27C82E9A" w14:textId="77777777" w:rsidR="00BE59E0" w:rsidRDefault="00D034DE">
      <w:pPr>
        <w:pStyle w:val="70"/>
        <w:shd w:val="clear" w:color="auto" w:fill="auto"/>
        <w:spacing w:before="0" w:after="0"/>
        <w:ind w:firstLine="0"/>
        <w:sectPr w:rsidR="00BE59E0">
          <w:pgSz w:w="11900" w:h="16840"/>
          <w:pgMar w:top="10" w:right="303" w:bottom="1056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 xml:space="preserve">Таким образом, при осмотре врач </w:t>
      </w:r>
      <w:r>
        <w:rPr>
          <w:rStyle w:val="71"/>
          <w:i/>
          <w:iCs/>
        </w:rPr>
        <w:t xml:space="preserve">должен оценивать, как объективные физикалъные симптомы анемии (бледность кожных покровов и видимых слизистых, тахикардия, тахипноэ), так и субъективные симптомы анемии при активном целенаправленном расспросе самого пациента или его родителей (повседневная </w:t>
      </w:r>
      <w:r>
        <w:rPr>
          <w:rStyle w:val="71"/>
          <w:i/>
          <w:iCs/>
        </w:rPr>
        <w:t>физическая, эмоциональная и социальная активность, переносимость физических нагрузок).</w:t>
      </w:r>
    </w:p>
    <w:p w14:paraId="45B09EC4" w14:textId="77777777" w:rsidR="00BE59E0" w:rsidRDefault="00D034D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00"/>
        </w:tabs>
        <w:spacing w:before="0" w:after="20" w:line="480" w:lineRule="exact"/>
        <w:ind w:left="280"/>
        <w:jc w:val="both"/>
      </w:pPr>
      <w:bookmarkStart w:id="8" w:name="bookmark8"/>
      <w:r>
        <w:lastRenderedPageBreak/>
        <w:t>Лабораторные диагностические исследования</w:t>
      </w:r>
      <w:bookmarkEnd w:id="8"/>
    </w:p>
    <w:p w14:paraId="23C7905C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Пациентам с клиническими сипмтомами анемии </w:t>
      </w:r>
      <w:r>
        <w:rPr>
          <w:rStyle w:val="22"/>
        </w:rPr>
        <w:t xml:space="preserve">рекомендуется </w:t>
      </w:r>
      <w:r>
        <w:rPr>
          <w:rStyle w:val="21"/>
        </w:rPr>
        <w:t xml:space="preserve">выполнение общего (клинического) анализа крови, оценка гематокрита </w:t>
      </w:r>
      <w:r>
        <w:rPr>
          <w:rStyle w:val="21"/>
          <w:lang w:val="en-US" w:eastAsia="en-US" w:bidi="en-US"/>
        </w:rPr>
        <w:t>(Hc</w:t>
      </w:r>
      <w:r>
        <w:rPr>
          <w:rStyle w:val="21"/>
          <w:lang w:val="en-US" w:eastAsia="en-US" w:bidi="en-US"/>
        </w:rPr>
        <w:t xml:space="preserve">t), </w:t>
      </w:r>
      <w:r>
        <w:rPr>
          <w:rStyle w:val="21"/>
        </w:rPr>
        <w:t>исследование уровня эритроцитов в крови и исследование уровня ретикулоцитов с целью диагностики и дифференциальной диагностики анемии [22].</w:t>
      </w:r>
    </w:p>
    <w:p w14:paraId="39F9D404" w14:textId="77777777" w:rsidR="00BE59E0" w:rsidRDefault="00D034DE">
      <w:pPr>
        <w:pStyle w:val="20"/>
        <w:shd w:val="clear" w:color="auto" w:fill="auto"/>
        <w:spacing w:before="0" w:after="244" w:line="260" w:lineRule="exact"/>
        <w:ind w:left="40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404778F1" w14:textId="77777777" w:rsidR="00BE59E0" w:rsidRDefault="00D034DE">
      <w:pPr>
        <w:pStyle w:val="70"/>
        <w:shd w:val="clear" w:color="auto" w:fill="auto"/>
        <w:spacing w:before="0" w:after="343"/>
        <w:ind w:firstLine="0"/>
      </w:pPr>
      <w:r>
        <w:rPr>
          <w:rStyle w:val="72"/>
        </w:rPr>
        <w:t xml:space="preserve">Комментарии: </w:t>
      </w:r>
      <w:r>
        <w:rPr>
          <w:rStyle w:val="71"/>
          <w:i/>
          <w:iCs/>
        </w:rPr>
        <w:t>учитывая, что больш</w:t>
      </w:r>
      <w:r>
        <w:rPr>
          <w:rStyle w:val="71"/>
          <w:i/>
          <w:iCs/>
        </w:rPr>
        <w:t>инство симптомов анемии являются неспецифическими, наиболее доступным, объективным и основополагающим методом диагностики анемии является лабораторное определение концентрации гемоглобина в крови.</w:t>
      </w:r>
    </w:p>
    <w:p w14:paraId="10F78713" w14:textId="77777777" w:rsidR="00BE59E0" w:rsidRDefault="00D034DE">
      <w:pPr>
        <w:pStyle w:val="70"/>
        <w:shd w:val="clear" w:color="auto" w:fill="auto"/>
        <w:spacing w:before="0" w:after="244" w:line="260" w:lineRule="exact"/>
        <w:ind w:left="400" w:hanging="400"/>
      </w:pPr>
      <w:r>
        <w:rPr>
          <w:rStyle w:val="71"/>
          <w:i/>
          <w:iCs/>
        </w:rPr>
        <w:t xml:space="preserve">АЗН, как правило, носит гипорегенераторный, нормоцитарный, </w:t>
      </w:r>
      <w:r>
        <w:rPr>
          <w:rStyle w:val="71"/>
          <w:i/>
          <w:iCs/>
        </w:rPr>
        <w:t>нормохромный характер.</w:t>
      </w:r>
    </w:p>
    <w:p w14:paraId="0305AF5C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Пациентам с клиническими и лабораторными проявлениями анемии </w:t>
      </w:r>
      <w:r>
        <w:rPr>
          <w:rStyle w:val="22"/>
        </w:rPr>
        <w:t xml:space="preserve">рекомендуется </w:t>
      </w:r>
      <w:r>
        <w:rPr>
          <w:rStyle w:val="21"/>
        </w:rPr>
        <w:t xml:space="preserve">исследование статуса железа, включающее исследование уровня железа сыворотки крови, исследование насыщения трансферрина железом исследование уровня ферритина </w:t>
      </w:r>
      <w:r>
        <w:rPr>
          <w:rStyle w:val="21"/>
        </w:rPr>
        <w:t>в крови с целью определения характеристики анемии и дифференциальной диагностики с железодефицитной анемией [22].</w:t>
      </w:r>
    </w:p>
    <w:p w14:paraId="0C250C88" w14:textId="77777777" w:rsidR="00BE59E0" w:rsidRDefault="00D034DE">
      <w:pPr>
        <w:pStyle w:val="20"/>
        <w:shd w:val="clear" w:color="auto" w:fill="auto"/>
        <w:spacing w:before="0" w:after="240" w:line="260" w:lineRule="exact"/>
        <w:ind w:left="40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045E620D" w14:textId="77777777" w:rsidR="00BE59E0" w:rsidRDefault="00D034DE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2"/>
        </w:rPr>
        <w:t xml:space="preserve">Комментарии: </w:t>
      </w:r>
      <w:r>
        <w:rPr>
          <w:rStyle w:val="71"/>
          <w:i/>
          <w:iCs/>
        </w:rPr>
        <w:t xml:space="preserve">определение СФ рекомендовано, как </w:t>
      </w:r>
      <w:r>
        <w:rPr>
          <w:rStyle w:val="71"/>
          <w:i/>
          <w:iCs/>
        </w:rPr>
        <w:t>наиболее надежный тест для диагностики дефицита железа (ДЖ) («золотой стандарт»).</w:t>
      </w:r>
    </w:p>
    <w:p w14:paraId="33E45060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При обследовании пациентов со ЗН надо учитывать, что ДЖ может быть абсолютным (снижение СФ менее 10 мкг/л), и функциональным с нарушением мобилизации железа из макрофагов при</w:t>
      </w:r>
      <w:r>
        <w:rPr>
          <w:rStyle w:val="71"/>
          <w:i/>
          <w:iCs/>
        </w:rPr>
        <w:t xml:space="preserve"> сохраненном адекватном пуле хранения (снижение коэффициента НТЖ меньше 20%, СФ менее 10 мкг/л)</w:t>
      </w:r>
      <w:r>
        <w:rPr>
          <w:rStyle w:val="72"/>
        </w:rPr>
        <w:t xml:space="preserve"> </w:t>
      </w:r>
      <w:r>
        <w:rPr>
          <w:rStyle w:val="73"/>
        </w:rPr>
        <w:t xml:space="preserve">[23]. </w:t>
      </w:r>
      <w:r>
        <w:rPr>
          <w:rStyle w:val="71"/>
          <w:i/>
          <w:iCs/>
        </w:rPr>
        <w:t xml:space="preserve">Повышение концентрации СФ, как правило, выявляемое у детей с ЗП, обусловлено комплексом факторов, среди которых наиболее важное значение имеет выраженный </w:t>
      </w:r>
      <w:r>
        <w:rPr>
          <w:rStyle w:val="71"/>
          <w:i/>
          <w:iCs/>
        </w:rPr>
        <w:t>воспалительный процесс, как проявление основного заболевания, инфекционные осложнения, которые часто отмечаются у детей с ЗП.</w:t>
      </w:r>
    </w:p>
    <w:p w14:paraId="58EC3E48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Пациентам, у которых по клиническим и лабораторным проявлениями можно заподозрить </w:t>
      </w:r>
      <w:r>
        <w:rPr>
          <w:rStyle w:val="22"/>
        </w:rPr>
        <w:t xml:space="preserve">В12 </w:t>
      </w:r>
      <w:r>
        <w:rPr>
          <w:rStyle w:val="21"/>
        </w:rPr>
        <w:t xml:space="preserve">или фолиеводефицитную анемию </w:t>
      </w:r>
      <w:r>
        <w:rPr>
          <w:rStyle w:val="22"/>
        </w:rPr>
        <w:t xml:space="preserve">рекомендуется </w:t>
      </w:r>
      <w:r>
        <w:rPr>
          <w:rStyle w:val="21"/>
        </w:rPr>
        <w:t>о</w:t>
      </w:r>
      <w:r>
        <w:rPr>
          <w:rStyle w:val="21"/>
        </w:rPr>
        <w:t xml:space="preserve">пределение уровня витамина </w:t>
      </w:r>
      <w:r>
        <w:rPr>
          <w:rStyle w:val="22"/>
        </w:rPr>
        <w:t xml:space="preserve">В12 </w:t>
      </w:r>
      <w:r>
        <w:rPr>
          <w:rStyle w:val="21"/>
        </w:rPr>
        <w:t>(цианокобаламина) и фолиевой кислоты в сыворотке крови [22].</w:t>
      </w:r>
    </w:p>
    <w:p w14:paraId="7A1E2712" w14:textId="77777777" w:rsidR="00BE59E0" w:rsidRDefault="00D034DE">
      <w:pPr>
        <w:pStyle w:val="20"/>
        <w:shd w:val="clear" w:color="auto" w:fill="auto"/>
        <w:spacing w:before="0" w:after="244" w:line="260" w:lineRule="exact"/>
        <w:ind w:left="40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71CDD259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1"/>
        </w:rPr>
        <w:t>Пациентам, у которых по клиническим и лабораторным проявлениями можно заподозрить ге</w:t>
      </w:r>
      <w:r>
        <w:rPr>
          <w:rStyle w:val="21"/>
        </w:rPr>
        <w:t xml:space="preserve">молитическую анемию </w:t>
      </w:r>
      <w:r>
        <w:rPr>
          <w:rStyle w:val="22"/>
        </w:rPr>
        <w:t xml:space="preserve">рекомендуется </w:t>
      </w:r>
      <w:r>
        <w:rPr>
          <w:rStyle w:val="21"/>
        </w:rPr>
        <w:t>проведение тестов на гемолиз (исследование уровня общего билирубина в крови, исследование уровня свободного и связанного билирубина в крови, определение активности лактатдегидрогеназы в сыворотке крови; прямой антиглобулин</w:t>
      </w:r>
      <w:r>
        <w:rPr>
          <w:rStyle w:val="21"/>
        </w:rPr>
        <w:t>овый тест (прямая проба Кумбса)) [22].</w:t>
      </w:r>
    </w:p>
    <w:p w14:paraId="000BA76F" w14:textId="77777777" w:rsidR="00BE59E0" w:rsidRDefault="00D034DE">
      <w:pPr>
        <w:pStyle w:val="20"/>
        <w:shd w:val="clear" w:color="auto" w:fill="auto"/>
        <w:spacing w:before="0" w:after="244" w:line="260" w:lineRule="exact"/>
        <w:ind w:left="40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5A22ED9E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1"/>
        </w:rPr>
        <w:lastRenderedPageBreak/>
        <w:t xml:space="preserve">Пациентам, у которых по клиническим и лабораторным проявлениями можно заподозрить скрытое желудочно-кишечное кровотечение </w:t>
      </w:r>
      <w:r>
        <w:rPr>
          <w:rStyle w:val="22"/>
        </w:rPr>
        <w:t xml:space="preserve">рекомендуется </w:t>
      </w:r>
      <w:r>
        <w:rPr>
          <w:rStyle w:val="21"/>
        </w:rPr>
        <w:t>и</w:t>
      </w:r>
      <w:r>
        <w:rPr>
          <w:rStyle w:val="21"/>
        </w:rPr>
        <w:t>сследование кала на скрытую кровь [22].</w:t>
      </w:r>
    </w:p>
    <w:p w14:paraId="0902AB42" w14:textId="77777777" w:rsidR="00BE59E0" w:rsidRDefault="00D034DE">
      <w:pPr>
        <w:pStyle w:val="20"/>
        <w:shd w:val="clear" w:color="auto" w:fill="auto"/>
        <w:spacing w:before="0" w:after="244" w:line="260" w:lineRule="exact"/>
        <w:ind w:left="40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4670B075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Пациентам, у которых по клиническим и лабораторным проявлениями можно заподозрить нарушение почечной функции </w:t>
      </w:r>
      <w:r>
        <w:rPr>
          <w:rStyle w:val="22"/>
        </w:rPr>
        <w:t xml:space="preserve">рекомендуется </w:t>
      </w:r>
      <w:r>
        <w:rPr>
          <w:rStyle w:val="21"/>
        </w:rPr>
        <w:t xml:space="preserve">исследование </w:t>
      </w:r>
      <w:r>
        <w:rPr>
          <w:rStyle w:val="21"/>
        </w:rPr>
        <w:t>уровня креатинина в крови и/ или определение клиренса креатинина [22].</w:t>
      </w:r>
    </w:p>
    <w:p w14:paraId="6C2E5C28" w14:textId="77777777" w:rsidR="00BE59E0" w:rsidRDefault="00D034DE">
      <w:pPr>
        <w:pStyle w:val="20"/>
        <w:shd w:val="clear" w:color="auto" w:fill="auto"/>
        <w:spacing w:before="0" w:after="0" w:line="260" w:lineRule="exact"/>
        <w:ind w:left="400"/>
        <w:jc w:val="both"/>
        <w:sectPr w:rsidR="00BE59E0">
          <w:pgSz w:w="11900" w:h="16840"/>
          <w:pgMar w:top="10" w:right="293" w:bottom="663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49925AB3" w14:textId="77777777" w:rsidR="00BE59E0" w:rsidRDefault="00D034D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2036"/>
        </w:tabs>
        <w:spacing w:before="0" w:after="0" w:line="480" w:lineRule="exact"/>
        <w:ind w:left="1260"/>
        <w:jc w:val="both"/>
      </w:pPr>
      <w:bookmarkStart w:id="9" w:name="bookmark9"/>
      <w:r>
        <w:lastRenderedPageBreak/>
        <w:t>Инструментальные диагностичеекие</w:t>
      </w:r>
      <w:bookmarkEnd w:id="9"/>
    </w:p>
    <w:p w14:paraId="0EAE5BB9" w14:textId="77777777" w:rsidR="00BE59E0" w:rsidRDefault="00D034DE">
      <w:pPr>
        <w:pStyle w:val="10"/>
        <w:keepNext/>
        <w:keepLines/>
        <w:shd w:val="clear" w:color="auto" w:fill="auto"/>
        <w:spacing w:before="0" w:after="80" w:line="480" w:lineRule="exact"/>
        <w:ind w:right="20"/>
        <w:jc w:val="center"/>
      </w:pPr>
      <w:bookmarkStart w:id="10" w:name="bookmark10"/>
      <w:r>
        <w:t>исследования</w:t>
      </w:r>
      <w:bookmarkEnd w:id="10"/>
    </w:p>
    <w:p w14:paraId="520181C0" w14:textId="77777777" w:rsidR="00BE59E0" w:rsidRDefault="00D034DE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 xml:space="preserve">• Пациентам, у которых по клиническим и лабораторным проявлениям можно заподозрить кровотечение, </w:t>
      </w:r>
      <w:r>
        <w:rPr>
          <w:rStyle w:val="22"/>
        </w:rPr>
        <w:t xml:space="preserve">рекомендуется </w:t>
      </w:r>
      <w:r>
        <w:rPr>
          <w:rStyle w:val="21"/>
        </w:rPr>
        <w:t>проведение интсрументальных исследований для уточнения и остановки источника кровотечения [22].</w:t>
      </w:r>
    </w:p>
    <w:p w14:paraId="1EDB8FC6" w14:textId="77777777" w:rsidR="00BE59E0" w:rsidRDefault="00D034DE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1"/>
        </w:rPr>
        <w:t xml:space="preserve">Уровень убедительности рекомендаций С </w:t>
      </w:r>
      <w:r>
        <w:rPr>
          <w:rStyle w:val="21"/>
        </w:rPr>
        <w:t>(уровень достоверности доказательств - 5)</w:t>
      </w:r>
    </w:p>
    <w:p w14:paraId="68275D6B" w14:textId="77777777" w:rsidR="00BE59E0" w:rsidRDefault="00D034DE">
      <w:pPr>
        <w:pStyle w:val="70"/>
        <w:shd w:val="clear" w:color="auto" w:fill="auto"/>
        <w:spacing w:before="0" w:after="0"/>
        <w:ind w:firstLine="0"/>
        <w:sectPr w:rsidR="00BE59E0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73"/>
        </w:rPr>
        <w:t xml:space="preserve">Комментарии: </w:t>
      </w:r>
      <w:r>
        <w:rPr>
          <w:rStyle w:val="71"/>
          <w:i/>
          <w:iCs/>
        </w:rPr>
        <w:t>вид инструментального исследования определяется клинической картиной — эзофагогастродуодеиоскопия (ЭГДС), фиброколоноскопия (ФКС), фибробронхоскопия (ФБС), УЗИ брюшной полости, УЗИ</w:t>
      </w:r>
      <w:r>
        <w:rPr>
          <w:rStyle w:val="71"/>
          <w:i/>
          <w:iCs/>
        </w:rPr>
        <w:t xml:space="preserve"> почек, обзорный рентгеновский снимок брюшной полости и другие.</w:t>
      </w:r>
    </w:p>
    <w:p w14:paraId="4937BE71" w14:textId="77777777" w:rsidR="00BE59E0" w:rsidRDefault="00D034D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975"/>
        </w:tabs>
        <w:spacing w:before="0" w:after="20" w:line="480" w:lineRule="exact"/>
        <w:ind w:left="1240"/>
        <w:jc w:val="both"/>
      </w:pPr>
      <w:bookmarkStart w:id="11" w:name="bookmark11"/>
      <w:r>
        <w:lastRenderedPageBreak/>
        <w:t>Иные диагностические исследования</w:t>
      </w:r>
      <w:bookmarkEnd w:id="11"/>
    </w:p>
    <w:p w14:paraId="7A91D674" w14:textId="77777777" w:rsidR="00BE59E0" w:rsidRDefault="00D034DE">
      <w:pPr>
        <w:pStyle w:val="20"/>
        <w:shd w:val="clear" w:color="auto" w:fill="auto"/>
        <w:spacing w:before="0" w:after="343" w:line="389" w:lineRule="exact"/>
        <w:ind w:left="380" w:hanging="380"/>
        <w:jc w:val="both"/>
      </w:pPr>
      <w:r>
        <w:rPr>
          <w:rStyle w:val="21"/>
        </w:rPr>
        <w:t xml:space="preserve">• Пациентам, у которых по клиническим и лабораторным проявлениями можно заподозрить другие дополнительные причины развития анемии, </w:t>
      </w:r>
      <w:r>
        <w:rPr>
          <w:rStyle w:val="22"/>
        </w:rPr>
        <w:t xml:space="preserve">рекомендуется </w:t>
      </w:r>
      <w:r>
        <w:rPr>
          <w:rStyle w:val="21"/>
        </w:rPr>
        <w:t>проведение дополнительных исследований для уточнения иных этиологически значимых причин развития анемии [22].</w:t>
      </w:r>
    </w:p>
    <w:p w14:paraId="47DD2570" w14:textId="77777777" w:rsidR="00BE59E0" w:rsidRDefault="00D034DE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У</w:t>
      </w:r>
      <w:r>
        <w:rPr>
          <w:rStyle w:val="21"/>
        </w:rPr>
        <w:t>ровень убедительности рекомендаций С (уровень достоверности доказательств - 5)</w:t>
      </w:r>
    </w:p>
    <w:p w14:paraId="09F218ED" w14:textId="77777777" w:rsidR="00BE59E0" w:rsidRDefault="00D034DE">
      <w:pPr>
        <w:pStyle w:val="70"/>
        <w:shd w:val="clear" w:color="auto" w:fill="auto"/>
        <w:spacing w:before="0" w:after="0"/>
        <w:ind w:firstLine="0"/>
        <w:sectPr w:rsidR="00BE59E0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72"/>
        </w:rPr>
        <w:t xml:space="preserve">Комментарии: </w:t>
      </w:r>
      <w:r>
        <w:rPr>
          <w:rStyle w:val="71"/>
          <w:i/>
          <w:iCs/>
        </w:rPr>
        <w:t>обследование может включать определение концентрации витамина В12 и фолиевой кислоты в сыворотке крови (для исключения их дефицита); определени</w:t>
      </w:r>
      <w:r>
        <w:rPr>
          <w:rStyle w:val="71"/>
          <w:i/>
          <w:iCs/>
        </w:rPr>
        <w:t>е концентрации общего билирубина и его фракций, лактатдегидрогеназы в сыворотке крови, прямая проба Кумбса (для исключения гемолиза); определение концентрации креатинина в сыворотке крови и/или клиренс креатинина (для исключения хронической болезни почек).</w:t>
      </w:r>
    </w:p>
    <w:p w14:paraId="27B2EA68" w14:textId="77777777" w:rsidR="00BE59E0" w:rsidRDefault="00D034DE">
      <w:pPr>
        <w:pStyle w:val="60"/>
        <w:numPr>
          <w:ilvl w:val="0"/>
          <w:numId w:val="3"/>
        </w:numPr>
        <w:shd w:val="clear" w:color="auto" w:fill="auto"/>
        <w:tabs>
          <w:tab w:val="left" w:pos="1565"/>
        </w:tabs>
        <w:spacing w:after="895" w:line="389" w:lineRule="exact"/>
        <w:ind w:firstLine="1180"/>
      </w:pPr>
      <w:r>
        <w:lastRenderedPageBreak/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15D75500" w14:textId="77777777" w:rsidR="00BE59E0" w:rsidRDefault="00D034DE">
      <w:pPr>
        <w:pStyle w:val="80"/>
        <w:shd w:val="clear" w:color="auto" w:fill="auto"/>
        <w:spacing w:before="0" w:after="412" w:line="320" w:lineRule="exact"/>
        <w:ind w:left="20"/>
      </w:pPr>
      <w:r>
        <w:rPr>
          <w:rStyle w:val="81"/>
          <w:b/>
          <w:bCs/>
        </w:rPr>
        <w:t>3.1 Консервативное лечение</w:t>
      </w:r>
    </w:p>
    <w:p w14:paraId="00E4A3D7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Анализ опубликованных клинических наблюдений показал, что общим кри</w:t>
      </w:r>
      <w:r>
        <w:rPr>
          <w:rStyle w:val="71"/>
          <w:i/>
          <w:iCs/>
        </w:rPr>
        <w:t xml:space="preserve">терием назначения антианемического лечения является снижение концентрации Не менее 80 г/л. Лечение почти у всех детей заключается в трансфузиях эритроцитной массы. Менее 5% детей в качестве антианемической терапии получают фолиевую </w:t>
      </w:r>
      <w:r>
        <w:rPr>
          <w:rStyle w:val="71pt"/>
          <w:i/>
          <w:iCs/>
        </w:rPr>
        <w:t>кислотупрепараты</w:t>
      </w:r>
      <w:r>
        <w:rPr>
          <w:rStyle w:val="71"/>
          <w:i/>
          <w:iCs/>
        </w:rPr>
        <w:t xml:space="preserve"> железа,</w:t>
      </w:r>
      <w:r>
        <w:rPr>
          <w:rStyle w:val="71"/>
          <w:i/>
          <w:iCs/>
        </w:rPr>
        <w:t xml:space="preserve"> и еще меньше пациентов получают эритропоэзстимулирующие препараты (ЭСП, группа «ВОЗХ Другие антианемические препараты» по классификации АТХ)</w:t>
      </w:r>
      <w:r>
        <w:rPr>
          <w:rStyle w:val="72"/>
        </w:rPr>
        <w:t xml:space="preserve"> </w:t>
      </w:r>
      <w:r>
        <w:rPr>
          <w:rStyle w:val="73"/>
        </w:rPr>
        <w:t>[21].</w:t>
      </w:r>
    </w:p>
    <w:p w14:paraId="5E6E237B" w14:textId="77777777" w:rsidR="00BE59E0" w:rsidRDefault="00D034DE">
      <w:pPr>
        <w:pStyle w:val="20"/>
        <w:shd w:val="clear" w:color="auto" w:fill="auto"/>
        <w:spacing w:before="0" w:after="343" w:line="389" w:lineRule="exact"/>
        <w:ind w:left="400"/>
        <w:jc w:val="both"/>
      </w:pPr>
      <w:r>
        <w:rPr>
          <w:rStyle w:val="21"/>
        </w:rPr>
        <w:t>• Всем пациентам при енижении концентрации гемоглобина ниже 70 г/л е проявлениями еимптомов и признаков анем</w:t>
      </w:r>
      <w:r>
        <w:rPr>
          <w:rStyle w:val="21"/>
        </w:rPr>
        <w:t xml:space="preserve">ичеекой гипокеии </w:t>
      </w:r>
      <w:r>
        <w:rPr>
          <w:rStyle w:val="22"/>
        </w:rPr>
        <w:t xml:space="preserve">рекомендуются </w:t>
      </w:r>
      <w:r>
        <w:rPr>
          <w:rStyle w:val="21"/>
        </w:rPr>
        <w:t>трансфузии эритроцитарной массы [24-27].</w:t>
      </w:r>
    </w:p>
    <w:p w14:paraId="4253FE40" w14:textId="77777777" w:rsidR="00BE59E0" w:rsidRDefault="00D034DE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2B4DB704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2"/>
        </w:rPr>
        <w:t xml:space="preserve">Комментарии: </w:t>
      </w:r>
      <w:r>
        <w:rPr>
          <w:rStyle w:val="71"/>
          <w:i/>
          <w:iCs/>
        </w:rPr>
        <w:t>на сегодняшний день нет научно обоснованных стандартов и инструкций, которые бы четко опред</w:t>
      </w:r>
      <w:r>
        <w:rPr>
          <w:rStyle w:val="71"/>
          <w:i/>
          <w:iCs/>
        </w:rPr>
        <w:t>еляли показания к использованию трансфузий эритроцитов, также, как и нет четких критериев лечебной эффективности трансфузий.</w:t>
      </w:r>
    </w:p>
    <w:p w14:paraId="5F72DF28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В целом трансфузионная тактика при анемии пациентов со ЗН совпадает с общими принципами лечения хронической анемии, однако, имеются</w:t>
      </w:r>
      <w:r>
        <w:rPr>
          <w:rStyle w:val="71"/>
          <w:i/>
          <w:iCs/>
        </w:rPr>
        <w:t xml:space="preserve"> и свои особенности.</w:t>
      </w:r>
    </w:p>
    <w:p w14:paraId="54E7DF0A" w14:textId="77777777" w:rsidR="00BE59E0" w:rsidRDefault="00D034DE">
      <w:pPr>
        <w:pStyle w:val="70"/>
        <w:shd w:val="clear" w:color="auto" w:fill="auto"/>
        <w:spacing w:before="0" w:after="236"/>
        <w:ind w:firstLine="0"/>
      </w:pPr>
      <w:r>
        <w:rPr>
          <w:rStyle w:val="71"/>
          <w:i/>
          <w:iCs/>
        </w:rPr>
        <w:t xml:space="preserve">Показаниями к трансфузии эритроцитов у пациентов со ЗН, получающими химио/лучевую терапию, являются выраженная анемия (Не &lt; 70-75 г/л, </w:t>
      </w:r>
      <w:r>
        <w:rPr>
          <w:rStyle w:val="71"/>
          <w:i/>
          <w:iCs/>
          <w:lang w:val="en-US" w:eastAsia="en-US" w:bidi="en-US"/>
        </w:rPr>
        <w:t xml:space="preserve">Ht </w:t>
      </w:r>
      <w:r>
        <w:rPr>
          <w:rStyle w:val="71"/>
          <w:i/>
          <w:iCs/>
        </w:rPr>
        <w:t>&lt; 0,25-0,30 л/л) с проявлениями симптомов и признаков анемической гипоксии. При показателях концентрации НЬ ниже 70 г/</w:t>
      </w:r>
      <w:r>
        <w:rPr>
          <w:rStyle w:val="71"/>
          <w:i/>
          <w:iCs/>
        </w:rPr>
        <w:t>л и отсутствии клинических признаков и симптомов анемизации показания к гемотрансфузиям обсуждаются. Трансфузии могут не потребоваться для хорошо компенсированных пациентов, восстанавливающихся после ХТ-индуцированной аплазии</w:t>
      </w:r>
      <w:r>
        <w:rPr>
          <w:rStyle w:val="72"/>
        </w:rPr>
        <w:t xml:space="preserve"> </w:t>
      </w:r>
      <w:r>
        <w:rPr>
          <w:rStyle w:val="73"/>
        </w:rPr>
        <w:t>[24-27].</w:t>
      </w:r>
    </w:p>
    <w:p w14:paraId="5E6476D8" w14:textId="77777777" w:rsidR="00BE59E0" w:rsidRDefault="00D034DE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1"/>
          <w:i/>
          <w:iCs/>
        </w:rPr>
        <w:t>Однако, в случае пред</w:t>
      </w:r>
      <w:r>
        <w:rPr>
          <w:rStyle w:val="71"/>
          <w:i/>
          <w:iCs/>
        </w:rPr>
        <w:t xml:space="preserve">стоящей интенсивной </w:t>
      </w:r>
      <w:r>
        <w:rPr>
          <w:rStyle w:val="71"/>
          <w:i/>
          <w:iCs/>
          <w:lang w:val="en-US" w:eastAsia="en-US" w:bidi="en-US"/>
        </w:rPr>
        <w:t xml:space="preserve">XT </w:t>
      </w:r>
      <w:r>
        <w:rPr>
          <w:rStyle w:val="71"/>
          <w:i/>
          <w:iCs/>
        </w:rPr>
        <w:t>гемотрансфузии в отсутствии клинических проявлений оправданы</w:t>
      </w:r>
      <w:r>
        <w:rPr>
          <w:rStyle w:val="72"/>
        </w:rPr>
        <w:t xml:space="preserve"> </w:t>
      </w:r>
      <w:r>
        <w:rPr>
          <w:rStyle w:val="73"/>
        </w:rPr>
        <w:t>[24,28,29].</w:t>
      </w:r>
    </w:p>
    <w:p w14:paraId="4F30321B" w14:textId="77777777" w:rsidR="00BE59E0" w:rsidRDefault="00D034DE">
      <w:pPr>
        <w:pStyle w:val="70"/>
        <w:shd w:val="clear" w:color="auto" w:fill="auto"/>
        <w:spacing w:before="0" w:after="0"/>
        <w:ind w:firstLine="0"/>
      </w:pPr>
      <w:r>
        <w:rPr>
          <w:rStyle w:val="71"/>
          <w:i/>
          <w:iCs/>
        </w:rPr>
        <w:t>Все педиатрические онкологические пациенты должны получать облученную, обедненную лейкоцитами эритроцитную массу</w:t>
      </w:r>
      <w:r>
        <w:rPr>
          <w:rStyle w:val="72"/>
        </w:rPr>
        <w:t xml:space="preserve"> </w:t>
      </w:r>
      <w:r>
        <w:rPr>
          <w:rStyle w:val="73"/>
        </w:rPr>
        <w:t xml:space="preserve">[30]. </w:t>
      </w:r>
      <w:r>
        <w:rPr>
          <w:rStyle w:val="71"/>
          <w:i/>
          <w:iCs/>
        </w:rPr>
        <w:t>Было показано, что лейкоредукция достовер</w:t>
      </w:r>
      <w:r>
        <w:rPr>
          <w:rStyle w:val="71"/>
          <w:i/>
          <w:iCs/>
        </w:rPr>
        <w:t>но уменьшает риск фибрильных негемолитических трансфузионных реакций, а также передачу инфекционных патогенов, в частности, цитомегаловируса (ЦМВ)</w:t>
      </w:r>
      <w:r>
        <w:rPr>
          <w:rStyle w:val="72"/>
        </w:rPr>
        <w:t xml:space="preserve"> </w:t>
      </w:r>
      <w:r>
        <w:rPr>
          <w:rStyle w:val="73"/>
        </w:rPr>
        <w:t xml:space="preserve">[31,32]. </w:t>
      </w:r>
      <w:r>
        <w:rPr>
          <w:rStyle w:val="71"/>
          <w:i/>
          <w:iCs/>
        </w:rPr>
        <w:t>Облучение эритроцитной массы предотвращает развитие трансфузионно-ассоциированной реакции трансплант</w:t>
      </w:r>
      <w:r>
        <w:rPr>
          <w:rStyle w:val="71"/>
          <w:i/>
          <w:iCs/>
        </w:rPr>
        <w:t>ант-против-хозяинау иммунокомпромитированных пациентов</w:t>
      </w:r>
      <w:r>
        <w:rPr>
          <w:rStyle w:val="72"/>
        </w:rPr>
        <w:t xml:space="preserve"> </w:t>
      </w:r>
      <w:r>
        <w:rPr>
          <w:rStyle w:val="73"/>
        </w:rPr>
        <w:t>[33,34].</w:t>
      </w:r>
    </w:p>
    <w:p w14:paraId="06FF1665" w14:textId="77777777" w:rsidR="00BE59E0" w:rsidRDefault="00D034DE">
      <w:pPr>
        <w:pStyle w:val="70"/>
        <w:shd w:val="clear" w:color="auto" w:fill="auto"/>
        <w:spacing w:before="0" w:line="394" w:lineRule="exact"/>
        <w:ind w:firstLine="0"/>
      </w:pPr>
      <w:r>
        <w:rPr>
          <w:rStyle w:val="71"/>
          <w:i/>
          <w:iCs/>
        </w:rPr>
        <w:t xml:space="preserve">Общим правилом для принятия решения о необходимости гемотрансфузии во врачебной практике </w:t>
      </w:r>
      <w:r>
        <w:rPr>
          <w:rStyle w:val="71"/>
          <w:i/>
          <w:iCs/>
        </w:rPr>
        <w:lastRenderedPageBreak/>
        <w:t>является ориентация, прежде всего, на клинические показатели, такие как:</w:t>
      </w:r>
    </w:p>
    <w:p w14:paraId="030AD957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394" w:lineRule="exact"/>
        <w:ind w:left="400" w:hanging="400"/>
        <w:jc w:val="left"/>
      </w:pPr>
      <w:r>
        <w:rPr>
          <w:rStyle w:val="71"/>
          <w:i/>
          <w:iCs/>
        </w:rPr>
        <w:t>клинические симптомы и функцио</w:t>
      </w:r>
      <w:r>
        <w:rPr>
          <w:rStyle w:val="71"/>
          <w:i/>
          <w:iCs/>
        </w:rPr>
        <w:t>нальные показатели анемии (прежде всего скорость ее нарастания);</w:t>
      </w:r>
    </w:p>
    <w:p w14:paraId="52409E5E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ind w:left="400" w:hanging="400"/>
        <w:jc w:val="left"/>
      </w:pPr>
      <w:r>
        <w:rPr>
          <w:rStyle w:val="71"/>
          <w:i/>
          <w:iCs/>
        </w:rPr>
        <w:t>наличие или отсутствие сердечно-сосудистых и\или дыхательных симптомов, анемической гипоксии, нарушений со стороны ЦНС;</w:t>
      </w:r>
    </w:p>
    <w:p w14:paraId="14086C19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ind w:firstLine="0"/>
      </w:pPr>
      <w:r>
        <w:rPr>
          <w:rStyle w:val="71"/>
          <w:i/>
          <w:iCs/>
        </w:rPr>
        <w:t>физическое состояние и активность ребенка;</w:t>
      </w:r>
    </w:p>
    <w:p w14:paraId="2227AD70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rStyle w:val="71"/>
          <w:i/>
          <w:iCs/>
        </w:rPr>
        <w:t xml:space="preserve">отсутствие методов </w:t>
      </w:r>
      <w:r>
        <w:rPr>
          <w:rStyle w:val="71"/>
          <w:i/>
          <w:iCs/>
        </w:rPr>
        <w:t>альтернативной терапии.</w:t>
      </w:r>
    </w:p>
    <w:p w14:paraId="6735578F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Концентрация НЬ изолированно не может служить абсолютным критерием необходимости гемотрансфузий. Поэтому решение всегда должно быть результатом клинического суждения лечащего врача, и основываться в первую очередь на объективных при</w:t>
      </w:r>
      <w:r>
        <w:rPr>
          <w:rStyle w:val="71"/>
          <w:i/>
          <w:iCs/>
        </w:rPr>
        <w:t>знаках гипоксии, принимая во внимание сопутствующие факторы риска (кровотечения, интеркуррентные инфекции, предстоящая химио/лучевая терапия и др.)</w:t>
      </w:r>
      <w:r>
        <w:rPr>
          <w:rStyle w:val="72"/>
        </w:rPr>
        <w:t xml:space="preserve"> </w:t>
      </w:r>
      <w:r>
        <w:rPr>
          <w:rStyle w:val="73"/>
        </w:rPr>
        <w:t>[28,35,36].</w:t>
      </w:r>
    </w:p>
    <w:p w14:paraId="046CF9CC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 xml:space="preserve">Обычная доза трансфузии эритроцитной массы составляет 10 мл/кг. У детей должна </w:t>
      </w:r>
      <w:r>
        <w:rPr>
          <w:rStyle w:val="71"/>
          <w:i/>
          <w:iCs/>
        </w:rPr>
        <w:t>использоваться эритроцитная масса, хранившаяся сравнительно короткое время (до 5-7 дней), т. к. посттрансфузионная выживаемость перелитых эритроцитов снижается с увеличением срока хранения. При использовании длительно хранившейся эритроцитной массы дзировк</w:t>
      </w:r>
      <w:r>
        <w:rPr>
          <w:rStyle w:val="71"/>
          <w:i/>
          <w:iCs/>
        </w:rPr>
        <w:t>а трансфузии может быть повышена до 14-15 мл/кг. Трансфузия детям эритроцитной массы в объеме 5мл/кг повышает концентрацию гемоглобина в среднем на 10 г/л. В случае неадекватно низкого прироста концентрации гемоглобина должны быть приняты во внимание следу</w:t>
      </w:r>
      <w:r>
        <w:rPr>
          <w:rStyle w:val="71"/>
          <w:i/>
          <w:iCs/>
        </w:rPr>
        <w:t>ющие условия:</w:t>
      </w:r>
    </w:p>
    <w:p w14:paraId="63B7A95A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ind w:firstLine="0"/>
      </w:pPr>
      <w:r>
        <w:rPr>
          <w:rStyle w:val="71"/>
          <w:i/>
          <w:iCs/>
        </w:rPr>
        <w:t>скрытые кровотечения;</w:t>
      </w:r>
    </w:p>
    <w:p w14:paraId="17E8BBE9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ind w:firstLine="0"/>
      </w:pPr>
      <w:r>
        <w:rPr>
          <w:rStyle w:val="71"/>
          <w:i/>
          <w:iCs/>
        </w:rPr>
        <w:t>повторные заборы крови для лабораторных исследований;</w:t>
      </w:r>
    </w:p>
    <w:p w14:paraId="567DA7CB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ind w:firstLine="0"/>
      </w:pPr>
      <w:r>
        <w:rPr>
          <w:rStyle w:val="71"/>
          <w:i/>
          <w:iCs/>
        </w:rPr>
        <w:t>лихорадка;</w:t>
      </w:r>
    </w:p>
    <w:p w14:paraId="2D9B01E5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ind w:firstLine="0"/>
      </w:pPr>
      <w:r>
        <w:rPr>
          <w:rStyle w:val="71"/>
          <w:i/>
          <w:iCs/>
        </w:rPr>
        <w:t>гиперспленизм;</w:t>
      </w:r>
    </w:p>
    <w:p w14:paraId="2EA47E4B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ind w:firstLine="0"/>
      </w:pPr>
      <w:r>
        <w:rPr>
          <w:rStyle w:val="71"/>
          <w:i/>
          <w:iCs/>
        </w:rPr>
        <w:t>первичные и вторичные иммунологические причины;</w:t>
      </w:r>
    </w:p>
    <w:p w14:paraId="778DBD63" w14:textId="77777777" w:rsidR="00BE59E0" w:rsidRDefault="00D034DE">
      <w:pPr>
        <w:pStyle w:val="7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236"/>
        <w:ind w:firstLine="0"/>
      </w:pPr>
      <w:r>
        <w:rPr>
          <w:rStyle w:val="71"/>
          <w:i/>
          <w:iCs/>
        </w:rPr>
        <w:t>механический или другой тип гемолиза</w:t>
      </w:r>
      <w:r>
        <w:rPr>
          <w:rStyle w:val="72"/>
        </w:rPr>
        <w:t xml:space="preserve"> </w:t>
      </w:r>
      <w:r>
        <w:rPr>
          <w:rStyle w:val="73"/>
        </w:rPr>
        <w:t>[28,37].</w:t>
      </w:r>
    </w:p>
    <w:p w14:paraId="13A77D5F" w14:textId="77777777" w:rsidR="00BE59E0" w:rsidRDefault="00D034DE">
      <w:pPr>
        <w:pStyle w:val="70"/>
        <w:shd w:val="clear" w:color="auto" w:fill="auto"/>
        <w:spacing w:before="0" w:line="394" w:lineRule="exact"/>
        <w:ind w:firstLine="0"/>
      </w:pPr>
      <w:r>
        <w:rPr>
          <w:rStyle w:val="71"/>
          <w:i/>
          <w:iCs/>
        </w:rPr>
        <w:t>Недостатками гемотрансфузионной терапии являют</w:t>
      </w:r>
      <w:r>
        <w:rPr>
          <w:rStyle w:val="71"/>
          <w:i/>
          <w:iCs/>
        </w:rPr>
        <w:t>ся непродолжительность достигнутого результата, риск развития ряда острых и отдаленных реакций и осложнений</w:t>
      </w:r>
      <w:r>
        <w:rPr>
          <w:rStyle w:val="72"/>
        </w:rPr>
        <w:t xml:space="preserve"> </w:t>
      </w:r>
      <w:r>
        <w:rPr>
          <w:rStyle w:val="73"/>
        </w:rPr>
        <w:t>[28,30,38].</w:t>
      </w:r>
    </w:p>
    <w:p w14:paraId="1B816979" w14:textId="77777777" w:rsidR="00BE59E0" w:rsidRDefault="00D034DE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347" w:line="394" w:lineRule="exact"/>
        <w:ind w:left="400"/>
        <w:jc w:val="left"/>
      </w:pPr>
      <w:r>
        <w:rPr>
          <w:rStyle w:val="21"/>
        </w:rPr>
        <w:t xml:space="preserve">Пациентам детского возраста </w:t>
      </w:r>
      <w:r>
        <w:rPr>
          <w:rStyle w:val="22"/>
        </w:rPr>
        <w:t xml:space="preserve">рекомендуется </w:t>
      </w:r>
      <w:r>
        <w:rPr>
          <w:rStyle w:val="21"/>
        </w:rPr>
        <w:t>назначение ЭСП только при наличии абсолютных или относительных противопоказаний против гемотра</w:t>
      </w:r>
      <w:r>
        <w:rPr>
          <w:rStyle w:val="21"/>
        </w:rPr>
        <w:t>нсфузий [20,39-48].</w:t>
      </w:r>
    </w:p>
    <w:p w14:paraId="4EB81721" w14:textId="77777777" w:rsidR="00BE59E0" w:rsidRDefault="00D034DE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075C3478" w14:textId="77777777" w:rsidR="00BE59E0" w:rsidRDefault="00D034DE">
      <w:pPr>
        <w:pStyle w:val="70"/>
        <w:shd w:val="clear" w:color="auto" w:fill="auto"/>
        <w:tabs>
          <w:tab w:val="left" w:pos="2232"/>
        </w:tabs>
        <w:spacing w:before="0" w:after="0"/>
        <w:ind w:firstLine="0"/>
      </w:pPr>
      <w:r>
        <w:rPr>
          <w:rStyle w:val="72"/>
        </w:rPr>
        <w:t>Комментарии:</w:t>
      </w:r>
      <w:r>
        <w:rPr>
          <w:rStyle w:val="72"/>
        </w:rPr>
        <w:tab/>
      </w:r>
      <w:r>
        <w:rPr>
          <w:rStyle w:val="71"/>
          <w:i/>
          <w:iCs/>
        </w:rPr>
        <w:t>данные рандомизированных исследований свидетельствуют об</w:t>
      </w:r>
    </w:p>
    <w:p w14:paraId="77558D26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эффективности и безопасности терапии ЭСП у детей со ЗН</w:t>
      </w:r>
      <w:r>
        <w:rPr>
          <w:rStyle w:val="72"/>
        </w:rPr>
        <w:t xml:space="preserve"> </w:t>
      </w:r>
      <w:r>
        <w:rPr>
          <w:rStyle w:val="73"/>
        </w:rPr>
        <w:t xml:space="preserve">[20,39-48]. </w:t>
      </w:r>
      <w:r>
        <w:rPr>
          <w:rStyle w:val="71"/>
          <w:i/>
          <w:iCs/>
        </w:rPr>
        <w:t xml:space="preserve">Несмотря на </w:t>
      </w:r>
      <w:r>
        <w:rPr>
          <w:rStyle w:val="71"/>
          <w:i/>
          <w:iCs/>
        </w:rPr>
        <w:t>данные этих исследований, препараты рекомбинантного человеческого эитропоэтина (рчЭПО, группа «В02ХА01 Эритропоэтин» по классификации АТХ) не рекомендован для рутинного использования у детей с ЗН. Это связано в первую очередь с несостоятельностью научно об</w:t>
      </w:r>
      <w:r>
        <w:rPr>
          <w:rStyle w:val="71"/>
          <w:i/>
          <w:iCs/>
        </w:rPr>
        <w:t xml:space="preserve">основанной доказательной базы в отношении влияния терапии ЭСП на качество жизни и выживаемость детей с онкологическими </w:t>
      </w:r>
      <w:r>
        <w:rPr>
          <w:rStyle w:val="71"/>
          <w:i/>
          <w:iCs/>
        </w:rPr>
        <w:lastRenderedPageBreak/>
        <w:t>заболеваниями. До настоящего времени нет достоверных данных о влиянии терапии ЭСП на выживаемость детей со ЗН. В единичных публикациях, о</w:t>
      </w:r>
      <w:r>
        <w:rPr>
          <w:rStyle w:val="71"/>
          <w:i/>
          <w:iCs/>
        </w:rPr>
        <w:t>ценивающих выживаемость небольших групп детей с ЗН, получающих терапию ЭСП, не выявлено их негативного влияния</w:t>
      </w:r>
      <w:r>
        <w:rPr>
          <w:rStyle w:val="72"/>
        </w:rPr>
        <w:t xml:space="preserve"> [20,49].</w:t>
      </w:r>
    </w:p>
    <w:p w14:paraId="2814D56E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Применение рчЭПО у детей с ЗН до настоящего времени носит экспериментальный характер и должно проводиться в рамках крупных контролируемы</w:t>
      </w:r>
      <w:r>
        <w:rPr>
          <w:rStyle w:val="71"/>
          <w:i/>
          <w:iCs/>
        </w:rPr>
        <w:t>х рандомизированных исследований.</w:t>
      </w:r>
    </w:p>
    <w:p w14:paraId="424CA2B8" w14:textId="77777777" w:rsidR="00BE59E0" w:rsidRDefault="00D034DE">
      <w:pPr>
        <w:pStyle w:val="70"/>
        <w:shd w:val="clear" w:color="auto" w:fill="auto"/>
        <w:spacing w:before="0" w:after="343"/>
        <w:ind w:firstLine="0"/>
      </w:pPr>
      <w:r>
        <w:rPr>
          <w:rStyle w:val="71"/>
          <w:i/>
          <w:iCs/>
        </w:rPr>
        <w:t>Однако, в отдельных случаях, при относительных противопоказаниях к трансфузиям эритроцитной массы (острая печеночная недостаточность, декомпенсация кровообращения, тяжелые расстройства мозгового кровообращения, тромбофилич</w:t>
      </w:r>
      <w:r>
        <w:rPr>
          <w:rStyle w:val="71"/>
          <w:i/>
          <w:iCs/>
        </w:rPr>
        <w:t>еские/тромбоэмболические состояния), в случае редкой группы крови или аллоиммунизации, либо при отказе пациента/ родителей от трансфузий по религиозным соображениям коррекция анемии может проводиться применением рчЭПО с препаратами железа. Кроме того, така</w:t>
      </w:r>
      <w:r>
        <w:rPr>
          <w:rStyle w:val="71"/>
          <w:i/>
          <w:iCs/>
        </w:rPr>
        <w:t xml:space="preserve">я терапия оправдана для пациентов на паллиативном лечении. Терапия ЭСП может проводиться </w:t>
      </w:r>
      <w:r>
        <w:rPr>
          <w:rStyle w:val="74"/>
          <w:i/>
          <w:iCs/>
        </w:rPr>
        <w:t>только на фоне химиотерапии</w:t>
      </w:r>
      <w:r>
        <w:rPr>
          <w:rStyle w:val="71"/>
          <w:i/>
          <w:iCs/>
        </w:rPr>
        <w:t xml:space="preserve"> и только с информированного согласия родителей/законных опекунов или самого пациента в случае достижения им возраста 16 лет</w:t>
      </w:r>
      <w:r>
        <w:rPr>
          <w:rStyle w:val="72"/>
        </w:rPr>
        <w:t xml:space="preserve"> [49,50].</w:t>
      </w:r>
    </w:p>
    <w:p w14:paraId="110B4ACF" w14:textId="77777777" w:rsidR="00BE59E0" w:rsidRDefault="00D034DE">
      <w:pPr>
        <w:pStyle w:val="70"/>
        <w:shd w:val="clear" w:color="auto" w:fill="auto"/>
        <w:spacing w:before="0" w:line="260" w:lineRule="exact"/>
        <w:ind w:firstLine="0"/>
      </w:pPr>
      <w:r>
        <w:rPr>
          <w:rStyle w:val="71"/>
          <w:i/>
          <w:iCs/>
        </w:rPr>
        <w:t>Примен</w:t>
      </w:r>
      <w:r>
        <w:rPr>
          <w:rStyle w:val="71"/>
          <w:i/>
          <w:iCs/>
        </w:rPr>
        <w:t>ение рчЭПО для профилактики анемии не проводится.</w:t>
      </w:r>
    </w:p>
    <w:p w14:paraId="79419221" w14:textId="77777777" w:rsidR="00BE59E0" w:rsidRDefault="00D034DE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1"/>
          <w:i/>
          <w:iCs/>
        </w:rPr>
        <w:t>Перед началом ЭПО терапии следует установить и устранить любые другие (кроме связанных с опухолью) причины развития анемии.</w:t>
      </w:r>
    </w:p>
    <w:p w14:paraId="638FFF43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РчЭПО терапию следует начинать при ПЬ &lt; 100 (110) г/л в зависимости от симптомов а</w:t>
      </w:r>
      <w:r>
        <w:rPr>
          <w:rStyle w:val="71"/>
          <w:i/>
          <w:iCs/>
        </w:rPr>
        <w:t>немии.</w:t>
      </w:r>
    </w:p>
    <w:p w14:paraId="2640902C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При лечении АЗП не следует стремиться к значительному повышению концентрации гемоглобина (выше 110-120 г/л), даже несмотря на отсутствие данных о развитии тромбоэмболических осложнений у детей на фоне рчЭПО терапии. Наиболее важное значение при оцен</w:t>
      </w:r>
      <w:r>
        <w:rPr>
          <w:rStyle w:val="71"/>
          <w:i/>
          <w:iCs/>
        </w:rPr>
        <w:t>ке эффективности проводимой рчЭПО терапии следует уделять не достижению целевого уровня гемоглобина, а поддержанию удовлетворительного качества жизни пациента.</w:t>
      </w:r>
    </w:p>
    <w:p w14:paraId="15E7B1DE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Если уровень ПЬ повышается чрезмерно быстро (более чем на 20 г/л в неделю) или если его концентр</w:t>
      </w:r>
      <w:r>
        <w:rPr>
          <w:rStyle w:val="71"/>
          <w:i/>
          <w:iCs/>
        </w:rPr>
        <w:t>ация &gt; 120 г/л, следует прекратить введение препарата.</w:t>
      </w:r>
    </w:p>
    <w:p w14:paraId="749F48DE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Введение препарата возобновляется при снижении уровня ПЬ &lt; 100 (110) г/л в зависимости от симптомов анемии.</w:t>
      </w:r>
    </w:p>
    <w:p w14:paraId="1DBB67D5" w14:textId="77777777" w:rsidR="00BE59E0" w:rsidRDefault="00D034DE">
      <w:pPr>
        <w:pStyle w:val="70"/>
        <w:shd w:val="clear" w:color="auto" w:fill="auto"/>
        <w:spacing w:before="0" w:after="343"/>
        <w:ind w:firstLine="0"/>
      </w:pPr>
      <w:r>
        <w:rPr>
          <w:rStyle w:val="71"/>
          <w:i/>
          <w:iCs/>
        </w:rPr>
        <w:t xml:space="preserve">Учитывая развитие функционального дефицита железа (ФДЖ) у всех пациентов, получающих терапию </w:t>
      </w:r>
      <w:r>
        <w:rPr>
          <w:rStyle w:val="71"/>
          <w:i/>
          <w:iCs/>
        </w:rPr>
        <w:t>ЭСП, универсальным правилом при проведении терапии ЭСП является назначение препаратов железа. Детям назначаются пероральные препараты двухвалентного железа (группа ВОЗАЛ по АТХ классификации) или пероральные препараты трехвалентного железа (группа ВО ЗАВ п</w:t>
      </w:r>
      <w:r>
        <w:rPr>
          <w:rStyle w:val="71"/>
          <w:i/>
          <w:iCs/>
        </w:rPr>
        <w:t>о АТХ классификации).</w:t>
      </w:r>
    </w:p>
    <w:p w14:paraId="398B2188" w14:textId="77777777" w:rsidR="00BE59E0" w:rsidRDefault="00D034DE">
      <w:pPr>
        <w:pStyle w:val="50"/>
        <w:shd w:val="clear" w:color="auto" w:fill="auto"/>
        <w:spacing w:before="0" w:after="0" w:line="260" w:lineRule="exact"/>
        <w:ind w:firstLine="0"/>
      </w:pPr>
      <w:r>
        <w:rPr>
          <w:rStyle w:val="52"/>
        </w:rPr>
        <w:t>•</w:t>
      </w:r>
      <w:r>
        <w:rPr>
          <w:rStyle w:val="51"/>
          <w:b/>
          <w:bCs/>
        </w:rPr>
        <w:t xml:space="preserve"> Взрослым пациентам рекомендуется назначение ЭСП при наличии показаний [42,43,51].</w:t>
      </w:r>
    </w:p>
    <w:p w14:paraId="29923F5D" w14:textId="77777777" w:rsidR="00BE59E0" w:rsidRDefault="00D034DE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6A95AE45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2"/>
        </w:rPr>
        <w:t xml:space="preserve">Комментарии: </w:t>
      </w:r>
      <w:r>
        <w:rPr>
          <w:rStyle w:val="71"/>
          <w:i/>
          <w:iCs/>
        </w:rPr>
        <w:t xml:space="preserve">у взрослых пациентов со ЗНО назначение препаратов эритропоэтина имеет более </w:t>
      </w:r>
      <w:r>
        <w:rPr>
          <w:rStyle w:val="71"/>
          <w:i/>
          <w:iCs/>
        </w:rPr>
        <w:lastRenderedPageBreak/>
        <w:t>широкий спектр как при солидных опухолях, так и при заболеваниях системы крови. В частности, при миелодиспластических синдромах, хронических миелопролиферативных заболеваниях (перв</w:t>
      </w:r>
      <w:r>
        <w:rPr>
          <w:rStyle w:val="71"/>
          <w:i/>
          <w:iCs/>
        </w:rPr>
        <w:t>ичный миелофиброз) назначение препаратов эритропоэтина при наличии анемии может использоваться в качестве первой линии терапии, что отражено в соответствующих клинических рекомендациях. Для взрослых онкологических пациентов Американское общество клинически</w:t>
      </w:r>
      <w:r>
        <w:rPr>
          <w:rStyle w:val="71"/>
          <w:i/>
          <w:iCs/>
        </w:rPr>
        <w:t xml:space="preserve">х онкологов </w:t>
      </w:r>
      <w:r>
        <w:rPr>
          <w:rStyle w:val="71"/>
          <w:i/>
          <w:iCs/>
          <w:lang w:val="en-US" w:eastAsia="en-US" w:bidi="en-US"/>
        </w:rPr>
        <w:t xml:space="preserve">(ASCO) </w:t>
      </w:r>
      <w:r>
        <w:rPr>
          <w:rStyle w:val="71"/>
          <w:i/>
          <w:iCs/>
        </w:rPr>
        <w:t xml:space="preserve">и Американское общество гематологов </w:t>
      </w:r>
      <w:r>
        <w:rPr>
          <w:rStyle w:val="71"/>
          <w:i/>
          <w:iCs/>
          <w:lang w:val="en-US" w:eastAsia="en-US" w:bidi="en-US"/>
        </w:rPr>
        <w:t xml:space="preserve">(ASH), </w:t>
      </w:r>
      <w:r>
        <w:rPr>
          <w:rStyle w:val="71"/>
          <w:i/>
          <w:iCs/>
        </w:rPr>
        <w:t xml:space="preserve">а также Национальная всеобщая онкологическая сеть </w:t>
      </w:r>
      <w:r>
        <w:rPr>
          <w:rStyle w:val="71"/>
          <w:i/>
          <w:iCs/>
          <w:lang w:val="en-US" w:eastAsia="en-US" w:bidi="en-US"/>
        </w:rPr>
        <w:t xml:space="preserve">(NCCN) </w:t>
      </w:r>
      <w:r>
        <w:rPr>
          <w:rStyle w:val="71"/>
          <w:i/>
          <w:iCs/>
        </w:rPr>
        <w:t>основными целями терапии ЭСН считают устранение симптомов анемии и предотвращение трансфузий</w:t>
      </w:r>
      <w:r>
        <w:rPr>
          <w:rStyle w:val="72"/>
        </w:rPr>
        <w:t xml:space="preserve"> </w:t>
      </w:r>
      <w:r>
        <w:rPr>
          <w:rStyle w:val="73"/>
        </w:rPr>
        <w:t xml:space="preserve">[22,52], </w:t>
      </w:r>
      <w:r>
        <w:rPr>
          <w:rStyle w:val="71"/>
          <w:i/>
          <w:iCs/>
        </w:rPr>
        <w:t xml:space="preserve">несмотря на имевшиеся противоречия </w:t>
      </w:r>
      <w:r>
        <w:rPr>
          <w:rStyle w:val="71"/>
          <w:i/>
          <w:iCs/>
        </w:rPr>
        <w:t>в вопросе влияния терапии ЭСН на выживаемость взрослых пациентов с ЗН. Результаты нескольких рандомизированных исследований показали более низкие показатели общей выживаемости среди взрослых пациентов со ЗН, получавших ЭСН, по сравнению с пациентами, получ</w:t>
      </w:r>
      <w:r>
        <w:rPr>
          <w:rStyle w:val="71"/>
          <w:i/>
          <w:iCs/>
        </w:rPr>
        <w:t>авшими плацебо. Хотя большинство из этих исследований имели методологические проблемы, их результаты послужили поводом для настороженного отношения к использованию ЭСН у онкологических пациентов</w:t>
      </w:r>
      <w:r>
        <w:rPr>
          <w:rStyle w:val="72"/>
        </w:rPr>
        <w:t xml:space="preserve"> </w:t>
      </w:r>
      <w:r>
        <w:rPr>
          <w:rStyle w:val="73"/>
        </w:rPr>
        <w:t xml:space="preserve">[53,54]. </w:t>
      </w:r>
      <w:r>
        <w:rPr>
          <w:rStyle w:val="71"/>
          <w:i/>
          <w:iCs/>
        </w:rPr>
        <w:t>Кроме того, ряд преклинических исследований свидетел</w:t>
      </w:r>
      <w:r>
        <w:rPr>
          <w:rStyle w:val="71"/>
          <w:i/>
          <w:iCs/>
        </w:rPr>
        <w:t>ьствует о присутствии рецепторов к эритропоэтину (ЭНОр) на некоторых опухолевых клетках, посредством которых ЭСН потенциально могут влиять на процессы пролиферации и апоптоза экспрессирующих ЭНОр опухолевых клеток</w:t>
      </w:r>
      <w:r>
        <w:rPr>
          <w:rStyle w:val="72"/>
        </w:rPr>
        <w:t xml:space="preserve"> </w:t>
      </w:r>
      <w:r>
        <w:rPr>
          <w:rStyle w:val="73"/>
        </w:rPr>
        <w:t xml:space="preserve">[54-56]. </w:t>
      </w:r>
      <w:r>
        <w:rPr>
          <w:rStyle w:val="71"/>
          <w:i/>
          <w:iCs/>
        </w:rPr>
        <w:t xml:space="preserve">Большинство последних </w:t>
      </w:r>
      <w:r>
        <w:rPr>
          <w:rStyle w:val="71"/>
          <w:i/>
          <w:iCs/>
        </w:rPr>
        <w:t>исследований свидетельствует, что экспрессия на злокачественных клетках ЭНОр не приводит к стимулирующему опухолевый рост эффекту и не защищает их от лекарственного апоптоза. Опубликованные за последние несколько лет результаты больших контролируемых иссле</w:t>
      </w:r>
      <w:r>
        <w:rPr>
          <w:rStyle w:val="71"/>
          <w:i/>
          <w:iCs/>
        </w:rPr>
        <w:t>дований, оценивавших влияние терапии ЭСН на показатели выживаемости взрослых пациентов, не поддерживают гипотезу об ЭСН-индуцированной опухолевой прогрессии и/или уменьшении выживаемости</w:t>
      </w:r>
      <w:r>
        <w:rPr>
          <w:rStyle w:val="72"/>
        </w:rPr>
        <w:t xml:space="preserve"> [51].</w:t>
      </w:r>
    </w:p>
    <w:p w14:paraId="0B4B84F5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ЭСН также может применяться при относительных противопоказаниях</w:t>
      </w:r>
      <w:r>
        <w:rPr>
          <w:rStyle w:val="71"/>
          <w:i/>
          <w:iCs/>
        </w:rPr>
        <w:t xml:space="preserve"> к трансфузиям эритроцитной массы (острая печеночная недостаточность, декомпенсация кровообращения, тяжелые расстройства мозгового кровообращения, тромбофилические/тромбоэмболические состояния), в случае редкой группы крови или аллоиммуиизации, либо при от</w:t>
      </w:r>
      <w:r>
        <w:rPr>
          <w:rStyle w:val="71"/>
          <w:i/>
          <w:iCs/>
        </w:rPr>
        <w:t>казе пациента от трансфузий по религиозным соображениям коррекция анемии может проводиться применением рчЭНО с препаратами железа</w:t>
      </w:r>
      <w:r>
        <w:rPr>
          <w:rStyle w:val="72"/>
        </w:rPr>
        <w:t xml:space="preserve"> </w:t>
      </w:r>
      <w:r>
        <w:rPr>
          <w:rStyle w:val="73"/>
        </w:rPr>
        <w:t xml:space="preserve">[57,58]. </w:t>
      </w:r>
      <w:r>
        <w:rPr>
          <w:rStyle w:val="71"/>
          <w:i/>
          <w:iCs/>
        </w:rPr>
        <w:t>Кроме того, такая терапия оправдана для пациентов на паллиативном лечении.</w:t>
      </w:r>
    </w:p>
    <w:p w14:paraId="6B385017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 xml:space="preserve">Наиболее эффективно назначение препаратов </w:t>
      </w:r>
      <w:r>
        <w:rPr>
          <w:rStyle w:val="71"/>
          <w:i/>
          <w:iCs/>
        </w:rPr>
        <w:t>ЭНО у взрослых при уровне эндогенного эритропоэтина ниже 500 МЕ/мл. Перед началом ЭНО терапии следует установить и устранить любые другие (кроме связанных с опухолью) причины развития анемии. РчЭНО терапию следует начинать при НЬ &lt; 100 (110) г/л в зависимо</w:t>
      </w:r>
      <w:r>
        <w:rPr>
          <w:rStyle w:val="71"/>
          <w:i/>
          <w:iCs/>
        </w:rPr>
        <w:t>сти от симптомов анемии.</w:t>
      </w:r>
    </w:p>
    <w:p w14:paraId="6A657F2F" w14:textId="77777777" w:rsidR="00BE59E0" w:rsidRDefault="00D034DE">
      <w:pPr>
        <w:pStyle w:val="70"/>
        <w:shd w:val="clear" w:color="auto" w:fill="auto"/>
        <w:spacing w:before="0" w:after="0"/>
        <w:ind w:firstLine="0"/>
      </w:pPr>
      <w:r>
        <w:rPr>
          <w:rStyle w:val="71"/>
          <w:i/>
          <w:iCs/>
        </w:rPr>
        <w:t>Если уровень НЬ повышается чрезмерно быстро (более чем на 20 г/л в неделю) или если его концентрация &gt; 120 г/л, следует прекратить введение препарата.</w:t>
      </w:r>
    </w:p>
    <w:p w14:paraId="52CD1F97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1"/>
          <w:i/>
          <w:iCs/>
        </w:rPr>
        <w:t>Введение препарата возобновляется при снижении уровня НЬ &lt; 100 (110) г/л в завис</w:t>
      </w:r>
      <w:r>
        <w:rPr>
          <w:rStyle w:val="71"/>
          <w:i/>
          <w:iCs/>
        </w:rPr>
        <w:t>имости от симптомов анемии. Если доза 900 МЕ/кг не дает эффекта, дальнейшая терапия рчЭПО нецелесообразна.</w:t>
      </w:r>
    </w:p>
    <w:p w14:paraId="2241C4D1" w14:textId="77777777" w:rsidR="00BE59E0" w:rsidRDefault="00D034DE">
      <w:pPr>
        <w:pStyle w:val="70"/>
        <w:shd w:val="clear" w:color="auto" w:fill="auto"/>
        <w:spacing w:before="0" w:after="343"/>
        <w:ind w:firstLine="0"/>
      </w:pPr>
      <w:r>
        <w:rPr>
          <w:rStyle w:val="71"/>
          <w:i/>
          <w:iCs/>
        </w:rPr>
        <w:t xml:space="preserve">Учитывая развитие функционального дефицита железа (ФДЖ) у пациентов, получающих терапию </w:t>
      </w:r>
      <w:r>
        <w:rPr>
          <w:rStyle w:val="71"/>
          <w:i/>
          <w:iCs/>
        </w:rPr>
        <w:lastRenderedPageBreak/>
        <w:t>ЭСП, при проведении терапии ЭСП могут назначаться препараты ж</w:t>
      </w:r>
      <w:r>
        <w:rPr>
          <w:rStyle w:val="71"/>
          <w:i/>
          <w:iCs/>
        </w:rPr>
        <w:t>елеза в стандартных дозировках.</w:t>
      </w:r>
    </w:p>
    <w:p w14:paraId="50283B0D" w14:textId="77777777" w:rsidR="00BE59E0" w:rsidRDefault="00D034DE">
      <w:pPr>
        <w:pStyle w:val="70"/>
        <w:shd w:val="clear" w:color="auto" w:fill="auto"/>
        <w:spacing w:before="0" w:after="244" w:line="260" w:lineRule="exact"/>
        <w:ind w:firstLine="0"/>
      </w:pPr>
      <w:r>
        <w:rPr>
          <w:rStyle w:val="71"/>
          <w:i/>
          <w:iCs/>
        </w:rPr>
        <w:t>Применение рчЭПО для профилактики анемии не проводится.</w:t>
      </w:r>
    </w:p>
    <w:p w14:paraId="326E333F" w14:textId="77777777" w:rsidR="00BE59E0" w:rsidRDefault="00D034DE">
      <w:pPr>
        <w:pStyle w:val="20"/>
        <w:shd w:val="clear" w:color="auto" w:fill="auto"/>
        <w:spacing w:before="0" w:after="343" w:line="389" w:lineRule="exact"/>
        <w:ind w:left="400"/>
        <w:jc w:val="left"/>
      </w:pPr>
      <w:r>
        <w:rPr>
          <w:rStyle w:val="21"/>
        </w:rPr>
        <w:t xml:space="preserve">• Пациентам с доказанным абсолютным дефицитом железа </w:t>
      </w:r>
      <w:r>
        <w:rPr>
          <w:rStyle w:val="22"/>
        </w:rPr>
        <w:t xml:space="preserve">рекомендуется </w:t>
      </w:r>
      <w:r>
        <w:rPr>
          <w:rStyle w:val="21"/>
        </w:rPr>
        <w:t>назначение препаратов железа [22].</w:t>
      </w:r>
    </w:p>
    <w:p w14:paraId="48B0C357" w14:textId="77777777" w:rsidR="00BE59E0" w:rsidRDefault="00D034DE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Уровень убедительности рекомендаций С (уровень достоверности доказ</w:t>
      </w:r>
      <w:r>
        <w:rPr>
          <w:rStyle w:val="21"/>
        </w:rPr>
        <w:t>ательств - 5)</w:t>
      </w:r>
    </w:p>
    <w:p w14:paraId="4042B713" w14:textId="77777777" w:rsidR="00BE59E0" w:rsidRDefault="00D034DE">
      <w:pPr>
        <w:pStyle w:val="70"/>
        <w:shd w:val="clear" w:color="auto" w:fill="auto"/>
        <w:spacing w:before="0"/>
        <w:ind w:firstLine="0"/>
      </w:pPr>
      <w:r>
        <w:rPr>
          <w:rStyle w:val="72"/>
        </w:rPr>
        <w:t xml:space="preserve">Комментарии: </w:t>
      </w:r>
      <w:r>
        <w:rPr>
          <w:rStyle w:val="71"/>
          <w:i/>
          <w:iCs/>
        </w:rPr>
        <w:t>лабораторным критерием абсолютного дефицита железа служит снижение коэффициента НТЖ менее 20%, СФ менее 100 нг/мл. Детям назначаются пероральные формы (II) - валентного или (III) - валентного железа в суточной дозе 5 мг/кг по эле</w:t>
      </w:r>
      <w:r>
        <w:rPr>
          <w:rStyle w:val="71"/>
          <w:i/>
          <w:iCs/>
        </w:rPr>
        <w:t>ментарному железу в 2-3 приема.</w:t>
      </w:r>
    </w:p>
    <w:p w14:paraId="5A761EE7" w14:textId="77777777" w:rsidR="00BE59E0" w:rsidRDefault="00D034DE">
      <w:pPr>
        <w:pStyle w:val="70"/>
        <w:shd w:val="clear" w:color="auto" w:fill="auto"/>
        <w:spacing w:before="0" w:after="0"/>
        <w:ind w:firstLine="0"/>
        <w:sectPr w:rsidR="00BE59E0">
          <w:pgSz w:w="11900" w:h="16840"/>
          <w:pgMar w:top="33" w:right="295" w:bottom="111" w:left="296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При развитии аутоиммунной гемолитической анемии на фоне ЗП показано проведение терапии в соответствии с протоколами лечения аутоиммунных гемолитических анемий. В ряде случаев, развитие аутоиммунного гемо</w:t>
      </w:r>
      <w:r>
        <w:rPr>
          <w:rStyle w:val="71"/>
          <w:i/>
          <w:iCs/>
        </w:rPr>
        <w:t>лиза, например при лимфопролиферативных заболеваниях, является показанием к проведению специфической химиотерапии.</w:t>
      </w:r>
    </w:p>
    <w:p w14:paraId="008C7D4E" w14:textId="77777777" w:rsidR="00BE59E0" w:rsidRDefault="00D034DE">
      <w:pPr>
        <w:pStyle w:val="60"/>
        <w:numPr>
          <w:ilvl w:val="0"/>
          <w:numId w:val="3"/>
        </w:numPr>
        <w:shd w:val="clear" w:color="auto" w:fill="auto"/>
        <w:tabs>
          <w:tab w:val="left" w:pos="1414"/>
        </w:tabs>
        <w:spacing w:line="389" w:lineRule="exact"/>
        <w:ind w:left="680" w:right="20" w:firstLine="200"/>
      </w:pPr>
      <w:r>
        <w:lastRenderedPageBreak/>
        <w:t xml:space="preserve">Медицинская реабилитация и санаторно- курортное лечение, медицинские показания и противопоказания к применению методов медицинской </w:t>
      </w:r>
      <w:r>
        <w:t>реабилитации, в том числе основанных на использовании природных</w:t>
      </w:r>
    </w:p>
    <w:p w14:paraId="28AFD6B4" w14:textId="77777777" w:rsidR="00BE59E0" w:rsidRDefault="00D034DE">
      <w:pPr>
        <w:pStyle w:val="60"/>
        <w:shd w:val="clear" w:color="auto" w:fill="auto"/>
        <w:spacing w:after="120" w:line="389" w:lineRule="exact"/>
        <w:ind w:right="20"/>
        <w:jc w:val="center"/>
      </w:pPr>
      <w:r>
        <w:t>лечебных факторов</w:t>
      </w:r>
    </w:p>
    <w:p w14:paraId="7CCC8829" w14:textId="77777777" w:rsidR="00BE59E0" w:rsidRDefault="00D034DE">
      <w:pPr>
        <w:pStyle w:val="70"/>
        <w:shd w:val="clear" w:color="auto" w:fill="auto"/>
        <w:spacing w:before="0" w:after="0"/>
        <w:ind w:firstLine="0"/>
        <w:sectPr w:rsidR="00BE59E0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Специфических реабилитационных мероприятий в отношении пациентов с анемией злокачественных новообразований не разработано.</w:t>
      </w:r>
    </w:p>
    <w:p w14:paraId="4D909141" w14:textId="77777777" w:rsidR="00BE59E0" w:rsidRDefault="00D034D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205"/>
        </w:tabs>
        <w:spacing w:before="0" w:after="120" w:line="389" w:lineRule="exact"/>
        <w:ind w:left="600"/>
      </w:pPr>
      <w:bookmarkStart w:id="12" w:name="bookmark12"/>
      <w:r>
        <w:lastRenderedPageBreak/>
        <w:t>Профилактика и диспансерное на</w:t>
      </w:r>
      <w:r>
        <w:t>блюдение, медицинские показания и противопоказания к применению методов профилактики</w:t>
      </w:r>
      <w:bookmarkEnd w:id="12"/>
    </w:p>
    <w:p w14:paraId="3E2152B0" w14:textId="77777777" w:rsidR="00BE59E0" w:rsidRDefault="00D034DE">
      <w:pPr>
        <w:pStyle w:val="70"/>
        <w:shd w:val="clear" w:color="auto" w:fill="auto"/>
        <w:spacing w:before="0" w:after="0"/>
        <w:ind w:firstLine="0"/>
        <w:sectPr w:rsidR="00BE59E0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71"/>
          <w:i/>
          <w:iCs/>
        </w:rPr>
        <w:t>Специфических профилактических мероприятий в отношении пациентов с анемией злокачественных новообразований не разработано.</w:t>
      </w:r>
    </w:p>
    <w:p w14:paraId="1F6E0F3E" w14:textId="77777777" w:rsidR="00BE59E0" w:rsidRDefault="00D034D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06"/>
        </w:tabs>
        <w:spacing w:before="0" w:after="71" w:line="480" w:lineRule="exact"/>
        <w:ind w:left="480"/>
        <w:jc w:val="both"/>
      </w:pPr>
      <w:bookmarkStart w:id="13" w:name="bookmark13"/>
      <w:r>
        <w:lastRenderedPageBreak/>
        <w:t>Организация оказания медици</w:t>
      </w:r>
      <w:r>
        <w:t>нской помощи</w:t>
      </w:r>
      <w:bookmarkEnd w:id="13"/>
    </w:p>
    <w:p w14:paraId="5C4B872D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Учитывая, что анемия является типичным осложнением как самого онкологического заболевания, так и проводимого химиотерапевтического лечения, то ее коррекция проводится в рамках лечения основного заболевания.</w:t>
      </w:r>
    </w:p>
    <w:p w14:paraId="588DB864" w14:textId="77777777" w:rsidR="00BE59E0" w:rsidRDefault="00D034DE">
      <w:pPr>
        <w:pStyle w:val="20"/>
        <w:shd w:val="clear" w:color="auto" w:fill="auto"/>
        <w:tabs>
          <w:tab w:val="left" w:pos="8376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Показания для </w:t>
      </w:r>
      <w:r>
        <w:rPr>
          <w:rStyle w:val="26"/>
        </w:rPr>
        <w:t>госпитализации в ме</w:t>
      </w:r>
      <w:r>
        <w:rPr>
          <w:rStyle w:val="21"/>
        </w:rPr>
        <w:t>д</w:t>
      </w:r>
      <w:r>
        <w:rPr>
          <w:rStyle w:val="26"/>
        </w:rPr>
        <w:t>иттинскую организацию:</w:t>
      </w:r>
      <w:r>
        <w:rPr>
          <w:rStyle w:val="21"/>
        </w:rPr>
        <w:tab/>
        <w:t>в случае проведения</w:t>
      </w:r>
    </w:p>
    <w:p w14:paraId="4FE7B582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амбулаторного этапа химиотерапии показаниями к госпитализации будут служить выраженная анемия (НЬ &lt; 70 г/л, </w:t>
      </w:r>
      <w:r>
        <w:rPr>
          <w:rStyle w:val="21"/>
          <w:lang w:val="en-US" w:eastAsia="en-US" w:bidi="en-US"/>
        </w:rPr>
        <w:t xml:space="preserve">Ht </w:t>
      </w:r>
      <w:r>
        <w:rPr>
          <w:rStyle w:val="21"/>
        </w:rPr>
        <w:t>&lt; 0,25-0,30 л/л), либо наличие симптомов и признаков анемической гипоксии даже при</w:t>
      </w:r>
      <w:r>
        <w:rPr>
          <w:rStyle w:val="21"/>
        </w:rPr>
        <w:t xml:space="preserve"> более высоких показателях концентрации НЬ.</w:t>
      </w:r>
    </w:p>
    <w:p w14:paraId="072B2C9F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6"/>
        </w:rPr>
        <w:t>Показания к выписке пациента из ме</w:t>
      </w:r>
      <w:r>
        <w:rPr>
          <w:rStyle w:val="21"/>
        </w:rPr>
        <w:t>д</w:t>
      </w:r>
      <w:r>
        <w:rPr>
          <w:rStyle w:val="26"/>
        </w:rPr>
        <w:t>ининской организации:</w:t>
      </w:r>
      <w:r>
        <w:rPr>
          <w:rStyle w:val="21"/>
        </w:rPr>
        <w:t xml:space="preserve"> разрешение анемии и симптомов анемической гипоксии.</w:t>
      </w:r>
    </w:p>
    <w:p w14:paraId="1E5B94EC" w14:textId="77777777" w:rsidR="00BE59E0" w:rsidRDefault="00D034D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233"/>
        </w:tabs>
        <w:spacing w:before="0" w:after="0" w:line="389" w:lineRule="exact"/>
        <w:ind w:left="580" w:firstLine="180"/>
      </w:pPr>
      <w:bookmarkStart w:id="14" w:name="bookmark14"/>
      <w:r>
        <w:lastRenderedPageBreak/>
        <w:t>Дополнительная информация (в том числе факторы, влияющие на исход заболевания или</w:t>
      </w:r>
      <w:bookmarkEnd w:id="14"/>
    </w:p>
    <w:p w14:paraId="3A6CEE50" w14:textId="77777777" w:rsidR="00BE59E0" w:rsidRDefault="00D034DE">
      <w:pPr>
        <w:pStyle w:val="10"/>
        <w:keepNext/>
        <w:keepLines/>
        <w:shd w:val="clear" w:color="auto" w:fill="auto"/>
        <w:spacing w:before="0" w:after="120" w:line="389" w:lineRule="exact"/>
        <w:jc w:val="center"/>
      </w:pPr>
      <w:bookmarkStart w:id="15" w:name="bookmark15"/>
      <w:r>
        <w:t>состояния)</w:t>
      </w:r>
      <w:bookmarkEnd w:id="15"/>
    </w:p>
    <w:p w14:paraId="7FFF3EF6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На клиническом уровне связь между анемией и утомляемостью считается обоснованной. У взрослых доказано прямое влияние уровня НЬ на утомляемость и другие параметры качества жизни.</w:t>
      </w:r>
    </w:p>
    <w:p w14:paraId="7E1F63A4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У детей, особенно младшего возраста, оценка ка</w:t>
      </w:r>
      <w:r>
        <w:rPr>
          <w:rStyle w:val="21"/>
        </w:rPr>
        <w:t xml:space="preserve">чества жизни связана с техническими сложностями, так как требует заполнения анкетных опросников самими детьми и их родителями. По данным исследований качества жизни у детей со ЗН, утомляемость так же идентифицирована детьми и подростками как один из самых </w:t>
      </w:r>
      <w:r>
        <w:rPr>
          <w:rStyle w:val="21"/>
        </w:rPr>
        <w:t>тягостных симптомов, которые они испытывают. Кроме того, дети разных возрастов по-разному интерпретируют ощущение утомляемости: так дети 7-12 лет подчеркивают физическую усталость, в то время как подростки 13-18 лет отмечают еще и умственное ощущение устал</w:t>
      </w:r>
      <w:r>
        <w:rPr>
          <w:rStyle w:val="21"/>
        </w:rPr>
        <w:t>ости. Имеются единичные публикации, показавшие улучшение качества жизни детей с ЗН, коррелирующее с повы</w:t>
      </w:r>
      <w:r>
        <w:rPr>
          <w:rStyle w:val="26"/>
        </w:rPr>
        <w:t>ш</w:t>
      </w:r>
      <w:r>
        <w:rPr>
          <w:rStyle w:val="21"/>
        </w:rPr>
        <w:t>ением концентрации НЬ на фоне терапии ЭСП. Несмотря на это, утомляемость редко отмечается в жалобах детей и их родителей, что приводит к недооценке это</w:t>
      </w:r>
      <w:r>
        <w:rPr>
          <w:rStyle w:val="21"/>
        </w:rPr>
        <w:t>го симптома.</w:t>
      </w:r>
    </w:p>
    <w:p w14:paraId="153E8996" w14:textId="77777777" w:rsidR="00BE59E0" w:rsidRDefault="00D034DE">
      <w:pPr>
        <w:pStyle w:val="10"/>
        <w:keepNext/>
        <w:keepLines/>
        <w:shd w:val="clear" w:color="auto" w:fill="auto"/>
        <w:spacing w:before="0" w:after="0" w:line="480" w:lineRule="exact"/>
        <w:ind w:left="200"/>
      </w:pPr>
      <w:bookmarkStart w:id="16" w:name="bookmark16"/>
      <w:r>
        <w:lastRenderedPageBreak/>
        <w:t>Критерии оценки качества медицинской помощи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7368"/>
        <w:gridCol w:w="1574"/>
        <w:gridCol w:w="1694"/>
      </w:tblGrid>
      <w:tr w:rsidR="00BE59E0" w14:paraId="1F46F687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EE7A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№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96D87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"/>
              </w:rPr>
              <w:t>Критерии качества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B9828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Уровень</w:t>
            </w:r>
          </w:p>
          <w:p w14:paraId="3878EE47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достоверности</w:t>
            </w:r>
          </w:p>
          <w:p w14:paraId="1259F908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доказательств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5637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Уровень</w:t>
            </w:r>
          </w:p>
          <w:p w14:paraId="1AFF3933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убедительности</w:t>
            </w:r>
          </w:p>
          <w:p w14:paraId="4C421C5D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icrosoftSansSerif8pt"/>
              </w:rPr>
              <w:t>рекомендаций</w:t>
            </w:r>
          </w:p>
        </w:tc>
      </w:tr>
      <w:tr w:rsidR="00BE59E0" w14:paraId="67B1C938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C4B40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F7E30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Пациенту с клиническими сипмтомами анемии выполнены общий (клинический) анализ крови, оценка гематокрита </w:t>
            </w:r>
            <w:r>
              <w:rPr>
                <w:rStyle w:val="2MicrosoftSansSerif8pt"/>
                <w:lang w:val="en-US" w:eastAsia="en-US" w:bidi="en-US"/>
              </w:rPr>
              <w:t xml:space="preserve">(Hct), </w:t>
            </w:r>
            <w:r>
              <w:rPr>
                <w:rStyle w:val="2MicrosoftSansSerif8pt"/>
              </w:rPr>
              <w:t>исследование уровня эритроцитов в крови и исследование уровня ретикулоцитов.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CA28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7"/>
              </w:rPr>
              <w:t>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5A38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5</w:t>
            </w:r>
          </w:p>
        </w:tc>
      </w:tr>
      <w:tr w:rsidR="00BE59E0" w14:paraId="28B3ED2B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14FFF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6BDA2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Пациенту с клиническими и лабораторными </w:t>
            </w:r>
            <w:r>
              <w:rPr>
                <w:rStyle w:val="2MicrosoftSansSerif8pt"/>
              </w:rPr>
              <w:t>проявлениями анемии выполнено исследование статуса железа, включающее исследование уровня железа сыворотки крови, исследование насыщения трансферрина железом исследование уровня ферритина в крови.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BB14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7"/>
              </w:rPr>
              <w:t>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6D630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5</w:t>
            </w:r>
          </w:p>
        </w:tc>
      </w:tr>
      <w:tr w:rsidR="00BE59E0" w14:paraId="6D7B2E87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E5CAC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5E1FD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"/>
              </w:rPr>
              <w:t xml:space="preserve">Пациенту при снижении концентрации </w:t>
            </w:r>
            <w:r>
              <w:rPr>
                <w:rStyle w:val="2MicrosoftSansSerif8pt"/>
              </w:rPr>
              <w:t>гемоглобина ниже 70 г/л с проявлениями симптомов и признаков анемической гипоксии при отсутствии абсолютных или относительных противопоказаний против гемотрансфузии выполнена трансфузия эритроцитарной массы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B86E4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7"/>
              </w:rPr>
              <w:t>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CCE5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icrosoftSansSerif8pt"/>
              </w:rPr>
              <w:t>5</w:t>
            </w:r>
          </w:p>
        </w:tc>
      </w:tr>
    </w:tbl>
    <w:p w14:paraId="29B4D9DF" w14:textId="77777777" w:rsidR="00BE59E0" w:rsidRDefault="00BE59E0">
      <w:pPr>
        <w:framePr w:w="11155" w:wrap="notBeside" w:vAnchor="text" w:hAnchor="text" w:xAlign="center" w:y="1"/>
        <w:rPr>
          <w:sz w:val="2"/>
          <w:szCs w:val="2"/>
        </w:rPr>
      </w:pPr>
    </w:p>
    <w:p w14:paraId="1A16F7FC" w14:textId="77777777" w:rsidR="00BE59E0" w:rsidRDefault="00BE59E0">
      <w:pPr>
        <w:rPr>
          <w:sz w:val="2"/>
          <w:szCs w:val="2"/>
        </w:rPr>
      </w:pPr>
    </w:p>
    <w:p w14:paraId="7E344C52" w14:textId="77777777" w:rsidR="00BE59E0" w:rsidRDefault="00BE59E0">
      <w:pPr>
        <w:rPr>
          <w:sz w:val="2"/>
          <w:szCs w:val="2"/>
        </w:rPr>
        <w:sectPr w:rsidR="00BE59E0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3760D476" w14:textId="77777777" w:rsidR="00BE59E0" w:rsidRDefault="00D034DE">
      <w:pPr>
        <w:pStyle w:val="10"/>
        <w:keepNext/>
        <w:keepLines/>
        <w:shd w:val="clear" w:color="auto" w:fill="auto"/>
        <w:spacing w:before="0" w:after="20" w:line="480" w:lineRule="exact"/>
        <w:jc w:val="center"/>
      </w:pPr>
      <w:bookmarkStart w:id="17" w:name="bookmark17"/>
      <w:r>
        <w:lastRenderedPageBreak/>
        <w:t xml:space="preserve">Список </w:t>
      </w:r>
      <w:r>
        <w:t>литературы</w:t>
      </w:r>
      <w:bookmarkEnd w:id="17"/>
    </w:p>
    <w:p w14:paraId="18C37149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1229"/>
        </w:tabs>
        <w:spacing w:before="0" w:after="244" w:line="389" w:lineRule="exact"/>
        <w:ind w:firstLine="0"/>
        <w:jc w:val="both"/>
      </w:pPr>
      <w:r>
        <w:rPr>
          <w:rStyle w:val="21"/>
        </w:rPr>
        <w:t xml:space="preserve">Лунякова М.А.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 xml:space="preserve">Патогенез и возможноети терапии анемии у детей е оетрым лимфоблаетным лейкозом // Вопроеы гематологии, онкологии и иммунопатологии в педиатрии. 2013.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>12, №2. Р. 5-16.</w:t>
      </w:r>
    </w:p>
    <w:p w14:paraId="1CDDBCC3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991"/>
        </w:tabs>
        <w:spacing w:before="0" w:after="232" w:line="384" w:lineRule="exact"/>
        <w:ind w:firstLine="0"/>
        <w:jc w:val="both"/>
      </w:pPr>
      <w:r>
        <w:rPr>
          <w:rStyle w:val="21"/>
        </w:rPr>
        <w:t>Павлов А.Д., Морщакова Е.Ф., Румянцев А.Г. Эритропоэ</w:t>
      </w:r>
      <w:r>
        <w:rPr>
          <w:rStyle w:val="21"/>
        </w:rPr>
        <w:t>з, эритропоэтин, железо. М.: ГЭОТАР-Медиа, 2011. 304 р.</w:t>
      </w:r>
    </w:p>
    <w:p w14:paraId="019F4402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244" w:line="394" w:lineRule="exact"/>
        <w:ind w:firstLine="0"/>
        <w:jc w:val="both"/>
      </w:pPr>
      <w:r>
        <w:rPr>
          <w:rStyle w:val="21"/>
        </w:rPr>
        <w:t xml:space="preserve">Безнощенко А.Г.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 xml:space="preserve">Эритропоэтин в лечение анемии у детей и подроетков е оетрым лимфоблаетным лейкозом // Детекая онкология. 2008.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>3. Р. 11-15.</w:t>
      </w:r>
    </w:p>
    <w:p w14:paraId="5600B8EC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Dieato </w:t>
      </w:r>
      <w:r>
        <w:rPr>
          <w:rStyle w:val="21"/>
        </w:rPr>
        <w:t xml:space="preserve">М. </w:t>
      </w:r>
      <w:r>
        <w:rPr>
          <w:rStyle w:val="21"/>
          <w:lang w:val="en-US" w:eastAsia="en-US" w:bidi="en-US"/>
        </w:rPr>
        <w:t>Anemia in Caneer: Some Pathophysiologi</w:t>
      </w:r>
      <w:r>
        <w:rPr>
          <w:rStyle w:val="21"/>
          <w:lang w:val="en-US" w:eastAsia="en-US" w:bidi="en-US"/>
        </w:rPr>
        <w:t xml:space="preserve">eal Aspeets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Oneologist. Alphamed Press, 2003. Vol. 8,№S1.P. 19-21.</w:t>
      </w:r>
    </w:p>
    <w:p w14:paraId="74C3186A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Dieato M., Plawny L., Diederieh M. Anemia in Caneer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Ann. Oneol. 2010. Vol. 21, № Supp. 7. P. 167-172.</w:t>
      </w:r>
    </w:p>
    <w:p w14:paraId="7B8C8846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991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Dallalio G., Law E., Means R.T. Hepeidin inhibits in vitro erythroid eolony formation at redueed erythropoietin eoneentrations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Blood. Blood, 2006. Vol. 107, № 7. P. 2702-2704.</w:t>
      </w:r>
    </w:p>
    <w:p w14:paraId="5954E9AD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1229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Wang W. et al. Influenee of Tumor Neerosis Faetor-Alpha and Interferon-Gamma </w:t>
      </w:r>
      <w:r>
        <w:rPr>
          <w:rStyle w:val="21"/>
          <w:lang w:val="en-US" w:eastAsia="en-US" w:bidi="en-US"/>
        </w:rPr>
        <w:t xml:space="preserve">on Erythropoietin Produetion and Erythropoiesis in Caneer Patients With Anemia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Zhonghua Xue Ye Xue Za Zhi. 2007. Vol. 28, № 10. P. 681-684.</w:t>
      </w:r>
    </w:p>
    <w:p w14:paraId="2995829E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Corazza F. et al. Anemia in Children With Caneer Is Assoeiated With Deereased Erythropoietie Aetivity and Not Wit</w:t>
      </w:r>
      <w:r>
        <w:rPr>
          <w:rStyle w:val="21"/>
          <w:lang w:val="en-US" w:eastAsia="en-US" w:bidi="en-US"/>
        </w:rPr>
        <w:t xml:space="preserve">h Inadequate Erythropoietin Produetion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Blood. 1998. Vol. 92, № 5. P. 1793- 1798.</w:t>
      </w:r>
    </w:p>
    <w:p w14:paraId="67C0A909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Kim M.H. et al. Defeetive erythropoiesis in bone marrow is a meehanism of anemia in ehildren with eaneer.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Korean Med. Sei. J Korean Med Sei, 2002. Vol. 17, № 3. P. 33</w:t>
      </w:r>
      <w:r>
        <w:rPr>
          <w:rStyle w:val="21"/>
          <w:lang w:val="en-US" w:eastAsia="en-US" w:bidi="en-US"/>
        </w:rPr>
        <w:t>7-340.</w:t>
      </w:r>
    </w:p>
    <w:p w14:paraId="65219C9A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991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Kivivuori S.M. et al. Serum transferrin reeeptor and erythropoiesis in ehildren with newly diagnosed aeute lymphoblastie leukemia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Leuk. Res. Leuk Res, 1994. Vol. 18, № 11. P. 823-828.</w:t>
      </w:r>
    </w:p>
    <w:p w14:paraId="5581B415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Hellebostad M. et al. Serum immunoreaetive erythropoietin in ehildren with aeute leukaemia at various stages of disease — and the effeets of treatment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Eur. J. Haematol. Eur J Haematol, 1990. Vol. 44, №3. P. 159-164.</w:t>
      </w:r>
    </w:p>
    <w:p w14:paraId="6BE6784C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Dowd M. et al. Serum Erythropoietin L</w:t>
      </w:r>
      <w:r>
        <w:rPr>
          <w:rStyle w:val="21"/>
          <w:lang w:val="en-US" w:eastAsia="en-US" w:bidi="en-US"/>
        </w:rPr>
        <w:t xml:space="preserve">evels in Children With Leukemia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Med. Pediatr. Oneol. Med Pediatr Oneol, 1997. Vol. 28, № 4.</w:t>
      </w:r>
    </w:p>
    <w:p w14:paraId="03A1E051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Corazza F.V Physiopathologie Aspeets of Anemia and Thromboeytopenia in Children With Caneers: The Roles of Erythropoietin and Thrombopoietin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Bull Mem Aead R Med Belg. 2008. Vol. 163, № 1-2. P. 152-156.</w:t>
      </w:r>
    </w:p>
    <w:p w14:paraId="74273BB2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244" w:line="394" w:lineRule="exact"/>
        <w:ind w:firstLine="0"/>
        <w:jc w:val="both"/>
      </w:pPr>
      <w:r>
        <w:rPr>
          <w:rStyle w:val="21"/>
        </w:rPr>
        <w:t xml:space="preserve">Лунякова М.А.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>Уровни сывороточного эритропоэ</w:t>
      </w:r>
      <w:r>
        <w:rPr>
          <w:rStyle w:val="21"/>
        </w:rPr>
        <w:t xml:space="preserve">тина при анемиях у детей е оетрым </w:t>
      </w:r>
      <w:r>
        <w:rPr>
          <w:rStyle w:val="21"/>
        </w:rPr>
        <w:lastRenderedPageBreak/>
        <w:t xml:space="preserve">лимфоблаетным лейкозом до начала химиотерапии // Онкогематология. 2008.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>4. Р. 54-55.</w:t>
      </w:r>
    </w:p>
    <w:p w14:paraId="202A0551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Bhavnani </w:t>
      </w:r>
      <w:r>
        <w:rPr>
          <w:rStyle w:val="21"/>
        </w:rPr>
        <w:t xml:space="preserve">М., </w:t>
      </w:r>
      <w:r>
        <w:rPr>
          <w:rStyle w:val="21"/>
          <w:lang w:val="en-US" w:eastAsia="en-US" w:bidi="en-US"/>
        </w:rPr>
        <w:t xml:space="preserve">Morris Jones </w:t>
      </w:r>
      <w:r>
        <w:rPr>
          <w:rStyle w:val="21"/>
        </w:rPr>
        <w:t xml:space="preserve">Р.Н., </w:t>
      </w:r>
      <w:r>
        <w:rPr>
          <w:rStyle w:val="21"/>
          <w:lang w:val="en-US" w:eastAsia="en-US" w:bidi="en-US"/>
        </w:rPr>
        <w:t>Testa N.G. Children in long-term remission after treatment for</w:t>
      </w:r>
    </w:p>
    <w:p w14:paraId="071AAC67" w14:textId="77777777" w:rsidR="00BE59E0" w:rsidRDefault="00D034DE">
      <w:pPr>
        <w:pStyle w:val="20"/>
        <w:shd w:val="clear" w:color="auto" w:fill="auto"/>
        <w:tabs>
          <w:tab w:val="left" w:pos="5443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aeute lymphoblastie leukaemia show pe</w:t>
      </w:r>
      <w:r>
        <w:rPr>
          <w:rStyle w:val="21"/>
          <w:lang w:val="en-US" w:eastAsia="en-US" w:bidi="en-US"/>
        </w:rPr>
        <w:t xml:space="preserve">rsisting haemopoietie injury in elonal and long-term eultures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Br. J. Haematol. Br J Haematol, 1989. Vol. 71,</w:t>
      </w:r>
      <w:r>
        <w:rPr>
          <w:rStyle w:val="21"/>
          <w:lang w:val="en-US" w:eastAsia="en-US" w:bidi="en-US"/>
        </w:rPr>
        <w:tab/>
        <w:t>1. P. 37-41.</w:t>
      </w:r>
    </w:p>
    <w:p w14:paraId="255492D5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Gardner R.V., Astle C.M., Harrison D.E. Hematopoietie Preeursor Cell Exhaustion Is a Cause of Proliferative Defeet in Primitive Hem</w:t>
      </w:r>
      <w:r>
        <w:rPr>
          <w:rStyle w:val="21"/>
          <w:lang w:val="en-US" w:eastAsia="en-US" w:bidi="en-US"/>
        </w:rPr>
        <w:t xml:space="preserve">atopoietie Stem Cells (PHSC) After Chemotherapy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Exp. Hematol. 1997. Vol. 25. P. 495-501.</w:t>
      </w:r>
    </w:p>
    <w:p w14:paraId="3891BDAF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Yao M. et al. Quantitative and qualitative alterations of long-term eulture- initiating eells in patients with aeute leukaemia in eomplete remission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Br. J. Haema</w:t>
      </w:r>
      <w:r>
        <w:rPr>
          <w:rStyle w:val="21"/>
          <w:lang w:val="en-US" w:eastAsia="en-US" w:bidi="en-US"/>
        </w:rPr>
        <w:t>tol. Br J Haematol, 1998. Vol. 103, № 1. P. 124-128.</w:t>
      </w:r>
    </w:p>
    <w:p w14:paraId="4A26C747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>Galotto M. et al. Stromal damage as eonsequenee of high-dose ehemo/radiotherapy in bone</w:t>
      </w:r>
    </w:p>
    <w:p w14:paraId="4CB7CD6D" w14:textId="77777777" w:rsidR="00BE59E0" w:rsidRDefault="00D034DE">
      <w:pPr>
        <w:pStyle w:val="20"/>
        <w:shd w:val="clear" w:color="auto" w:fill="auto"/>
        <w:tabs>
          <w:tab w:val="left" w:pos="8515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marrow transplant reeipients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Exp. Hematol. Exp Hematol, 1999. Vol. 27,</w:t>
      </w:r>
      <w:r>
        <w:rPr>
          <w:rStyle w:val="21"/>
          <w:lang w:val="en-US" w:eastAsia="en-US" w:bidi="en-US"/>
        </w:rPr>
        <w:tab/>
        <w:t>9. P. 1460-1466.</w:t>
      </w:r>
    </w:p>
    <w:p w14:paraId="4250B83F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Verfaillie C.M., </w:t>
      </w:r>
      <w:r>
        <w:rPr>
          <w:rStyle w:val="21"/>
          <w:lang w:val="en-US" w:eastAsia="en-US" w:bidi="en-US"/>
        </w:rPr>
        <w:t>Catanzarro P.M., Ei W.N. Maerophage inflammatory protein la, interleukin 3</w:t>
      </w:r>
    </w:p>
    <w:p w14:paraId="2DB92713" w14:textId="77777777" w:rsidR="00BE59E0" w:rsidRDefault="00D034DE">
      <w:pPr>
        <w:pStyle w:val="20"/>
        <w:shd w:val="clear" w:color="auto" w:fill="auto"/>
        <w:tabs>
          <w:tab w:val="left" w:pos="8515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and difthsible marrow stromal faetors maintain human hematopoietie stem eells for at least eight weeks in vitro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Exp. Med. Roekefeller University Press, 1994. Vol. 179,</w:t>
      </w:r>
      <w:r>
        <w:rPr>
          <w:rStyle w:val="21"/>
          <w:lang w:val="en-US" w:eastAsia="en-US" w:bidi="en-US"/>
        </w:rPr>
        <w:tab/>
        <w:t>2. P. 6</w:t>
      </w:r>
      <w:r>
        <w:rPr>
          <w:rStyle w:val="21"/>
          <w:lang w:val="en-US" w:eastAsia="en-US" w:bidi="en-US"/>
        </w:rPr>
        <w:t>43-649.</w:t>
      </w:r>
    </w:p>
    <w:p w14:paraId="331CC3BE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Shankar A.G. The Role of Reeombinant Erythropoietin in Childhood Caneer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Oneologist.</w:t>
      </w:r>
    </w:p>
    <w:p w14:paraId="718E2092" w14:textId="77777777" w:rsidR="00BE59E0" w:rsidRDefault="00D034DE">
      <w:pPr>
        <w:pStyle w:val="20"/>
        <w:shd w:val="clear" w:color="auto" w:fill="auto"/>
        <w:tabs>
          <w:tab w:val="left" w:pos="3802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Alphamed Press, 2008. Vol. 13,</w:t>
      </w:r>
      <w:r>
        <w:rPr>
          <w:rStyle w:val="21"/>
          <w:lang w:val="en-US" w:eastAsia="en-US" w:bidi="en-US"/>
        </w:rPr>
        <w:tab/>
        <w:t>2. P. 157-166.</w:t>
      </w:r>
    </w:p>
    <w:p w14:paraId="748464FE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Miehon J. Ineidenee of anemia in pediatrie eaneer patients in Europe: Results of a large,</w:t>
      </w:r>
    </w:p>
    <w:p w14:paraId="16234A1B" w14:textId="77777777" w:rsidR="00BE59E0" w:rsidRDefault="00D034DE">
      <w:pPr>
        <w:pStyle w:val="20"/>
        <w:shd w:val="clear" w:color="auto" w:fill="auto"/>
        <w:tabs>
          <w:tab w:val="left" w:pos="10589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international survey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Medieal and Pediatrie Oneology. Med Pediatr Oneol, 2002. Vol. 39,</w:t>
      </w:r>
      <w:r>
        <w:rPr>
          <w:rStyle w:val="21"/>
          <w:lang w:val="en-US" w:eastAsia="en-US" w:bidi="en-US"/>
        </w:rPr>
        <w:tab/>
        <w:t>4. P.</w:t>
      </w:r>
    </w:p>
    <w:p w14:paraId="62DE9B97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448-450.</w:t>
      </w:r>
    </w:p>
    <w:p w14:paraId="1103C906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Beeker PS. et al. Hematopoietie growth faetors. NCCN Clinieal Praetiee Guidelines in Oneology (NCCN Guidelines). Version 2.2020. 2020. P. 98.</w:t>
      </w:r>
    </w:p>
    <w:p w14:paraId="5943A480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Eudwig H.</w:t>
      </w:r>
      <w:r>
        <w:rPr>
          <w:rStyle w:val="21"/>
          <w:lang w:val="en-US" w:eastAsia="en-US" w:bidi="en-US"/>
        </w:rPr>
        <w:t xml:space="preserve"> et al. Iron metabolism and iron supplementation in eaneer patients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Wien. Klin.</w:t>
      </w:r>
    </w:p>
    <w:p w14:paraId="130A9A9E" w14:textId="77777777" w:rsidR="00BE59E0" w:rsidRDefault="00D034DE">
      <w:pPr>
        <w:pStyle w:val="20"/>
        <w:shd w:val="clear" w:color="auto" w:fill="auto"/>
        <w:tabs>
          <w:tab w:val="left" w:pos="5976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Woehensehr. Springer-Verlag Wien, 2015. Vol. 127,</w:t>
      </w:r>
      <w:r>
        <w:rPr>
          <w:rStyle w:val="21"/>
          <w:lang w:val="en-US" w:eastAsia="en-US" w:bidi="en-US"/>
        </w:rPr>
        <w:tab/>
        <w:t>23-24. P. 907-919.</w:t>
      </w:r>
    </w:p>
    <w:p w14:paraId="18DA6A41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Ruggiero A., Rieeardi R. Interventions for anemia in pediatrie eaneer patients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Medieal and</w:t>
      </w:r>
    </w:p>
    <w:p w14:paraId="0E2B04B3" w14:textId="77777777" w:rsidR="00BE59E0" w:rsidRDefault="00D034DE">
      <w:pPr>
        <w:pStyle w:val="20"/>
        <w:shd w:val="clear" w:color="auto" w:fill="auto"/>
        <w:tabs>
          <w:tab w:val="left" w:pos="41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Pediatrie </w:t>
      </w:r>
      <w:r>
        <w:rPr>
          <w:rStyle w:val="21"/>
          <w:lang w:val="en-US" w:eastAsia="en-US" w:bidi="en-US"/>
        </w:rPr>
        <w:t>Oneology. 2002. Vol. 39,</w:t>
      </w:r>
      <w:r>
        <w:rPr>
          <w:rStyle w:val="21"/>
          <w:lang w:val="en-US" w:eastAsia="en-US" w:bidi="en-US"/>
        </w:rPr>
        <w:tab/>
        <w:t>4. P. 451-454.</w:t>
      </w:r>
    </w:p>
    <w:p w14:paraId="23600CA3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Maree-Berard P. et al. Risk model predietive of severe anemia requiring RBC transfusion after</w:t>
      </w:r>
    </w:p>
    <w:p w14:paraId="36D1993D" w14:textId="77777777" w:rsidR="00BE59E0" w:rsidRDefault="00D034DE">
      <w:pPr>
        <w:pStyle w:val="20"/>
        <w:shd w:val="clear" w:color="auto" w:fill="auto"/>
        <w:tabs>
          <w:tab w:val="left" w:pos="10589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ehemotherapy in pediatrie solid tumor patients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Clin. Oneol. J Clin Oneol, 2003. Vol. 21,</w:t>
      </w:r>
      <w:r>
        <w:rPr>
          <w:rStyle w:val="21"/>
          <w:lang w:val="en-US" w:eastAsia="en-US" w:bidi="en-US"/>
        </w:rPr>
        <w:tab/>
        <w:t>22. P.</w:t>
      </w:r>
    </w:p>
    <w:p w14:paraId="21F092B4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4235-4238.</w:t>
      </w:r>
    </w:p>
    <w:p w14:paraId="2538B931" w14:textId="77777777" w:rsidR="00BE59E0" w:rsidRDefault="00D034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Steiner M.E. et al. Reeommendations on RBC transfusion support in ehildren with hematologie</w:t>
      </w:r>
    </w:p>
    <w:p w14:paraId="0C255051" w14:textId="77777777" w:rsidR="00BE59E0" w:rsidRDefault="00D034DE">
      <w:pPr>
        <w:pStyle w:val="20"/>
        <w:shd w:val="clear" w:color="auto" w:fill="auto"/>
        <w:tabs>
          <w:tab w:val="left" w:pos="8222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and oneologie diagnoses from the pediatrie eritieal eare transfusion and anemia expertise initiative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Crit. Care Med. Eippineott Williams and Wilkins, 20</w:t>
      </w:r>
      <w:r>
        <w:rPr>
          <w:rStyle w:val="21"/>
          <w:lang w:val="en-US" w:eastAsia="en-US" w:bidi="en-US"/>
        </w:rPr>
        <w:t>18. Vol. 19,</w:t>
      </w:r>
      <w:r>
        <w:rPr>
          <w:rStyle w:val="21"/>
          <w:lang w:val="en-US" w:eastAsia="en-US" w:bidi="en-US"/>
        </w:rPr>
        <w:tab/>
        <w:t>9. P. S149-S156.</w:t>
      </w:r>
    </w:p>
    <w:p w14:paraId="0E86D9CB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Shah N., Andrews J., Goodnough L.T. Transfusions for anemia in adult and pediatrie patients with </w:t>
      </w:r>
      <w:r>
        <w:rPr>
          <w:rStyle w:val="21"/>
          <w:lang w:val="en-US" w:eastAsia="en-US" w:bidi="en-US"/>
        </w:rPr>
        <w:lastRenderedPageBreak/>
        <w:t xml:space="preserve">malignaneies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Blood Rev. Churehill Livingstone, 2015. Vol. 29, № 5. R 291-299.</w:t>
      </w:r>
    </w:p>
    <w:p w14:paraId="665DF438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464"/>
        </w:tabs>
        <w:spacing w:before="0" w:after="244" w:line="394" w:lineRule="exact"/>
        <w:ind w:firstLine="0"/>
        <w:jc w:val="both"/>
      </w:pPr>
      <w:r>
        <w:rPr>
          <w:rStyle w:val="21"/>
        </w:rPr>
        <w:t>Румянцев А.Г., Аграненко В.</w:t>
      </w:r>
      <w:r>
        <w:rPr>
          <w:rStyle w:val="21"/>
          <w:lang w:val="en-US" w:eastAsia="en-US" w:bidi="en-US"/>
        </w:rPr>
        <w:t xml:space="preserve">A. </w:t>
      </w:r>
      <w:r>
        <w:rPr>
          <w:rStyle w:val="21"/>
        </w:rPr>
        <w:t>Гемотранефузионная терапия в педиатрии и неонатологии: Руководетво для врачей. 2002. 644 р.</w:t>
      </w:r>
    </w:p>
    <w:p w14:paraId="3D6F0061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Rueeione K.S. et al. Assoeiation of projeeted transfiisional iron burden with treatment intensity in ehildhood eaneer survivors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Blood Caneer. Pediatr Bl</w:t>
      </w:r>
      <w:r>
        <w:rPr>
          <w:rStyle w:val="21"/>
          <w:lang w:val="en-US" w:eastAsia="en-US" w:bidi="en-US"/>
        </w:rPr>
        <w:t>ood Caneer, 2012. Vol. 59, № 4. P 697-702.</w:t>
      </w:r>
    </w:p>
    <w:p w14:paraId="666E62A0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Supportive Care in Pediatrie Oneology. A Praetieal Evidenee-Based Approaeh </w:t>
      </w:r>
      <w:r>
        <w:rPr>
          <w:rStyle w:val="21"/>
        </w:rPr>
        <w:t xml:space="preserve">/ </w:t>
      </w:r>
      <w:r>
        <w:rPr>
          <w:rStyle w:val="21"/>
          <w:lang w:val="en-US" w:eastAsia="en-US" w:bidi="en-US"/>
        </w:rPr>
        <w:t>ed. Feusner J., Hastings C.A., Agrawal A.K. Springer Berlin Heidelberg, 2015. 304 p.</w:t>
      </w:r>
    </w:p>
    <w:p w14:paraId="33CA88B7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King K.E. et al. Universal leukoreduetion deereases the ineidenee of febrile nonhemolytie transfusion reaetions to RBCs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Transfusion. Transfusion, 2004. Vol. 44, № 1. P. 25-29.</w:t>
      </w:r>
    </w:p>
    <w:p w14:paraId="7BEBA03B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Dzik W.H. Eeukoreduetion of blood eomponents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Current Opinion in Hematology</w:t>
      </w:r>
      <w:r>
        <w:rPr>
          <w:rStyle w:val="21"/>
          <w:lang w:val="en-US" w:eastAsia="en-US" w:bidi="en-US"/>
        </w:rPr>
        <w:t>. Curr Opin Hematol, 2002. Vol. 9, № 6. P. 521-526.</w:t>
      </w:r>
    </w:p>
    <w:p w14:paraId="196EE9C7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Rtihl H., Bein G., Saehs U.J.H. Transfiision-Assoeiated Graft-Versus-Host Disease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Transfusion Medieine Reviews. Transftis Med Rev, 2009. Vol. 23, № 1. P. 62-71.</w:t>
      </w:r>
    </w:p>
    <w:p w14:paraId="4F0B31F6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32" w:line="384" w:lineRule="exact"/>
        <w:ind w:firstLine="0"/>
        <w:jc w:val="both"/>
      </w:pPr>
      <w:r>
        <w:rPr>
          <w:rStyle w:val="21"/>
          <w:lang w:val="en-US" w:eastAsia="en-US" w:bidi="en-US"/>
        </w:rPr>
        <w:t>Dwyre D.M., Holland P. V. Transfiision-a</w:t>
      </w:r>
      <w:r>
        <w:rPr>
          <w:rStyle w:val="21"/>
          <w:lang w:val="en-US" w:eastAsia="en-US" w:bidi="en-US"/>
        </w:rPr>
        <w:t xml:space="preserve">ssoeiated graft-versus-host disease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Vox Sanguinis. Vox Sang, 2008. Vol. 95, № 2. P. 85-93.</w:t>
      </w:r>
    </w:p>
    <w:p w14:paraId="7B888CD2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Buehanan G.R. Blood transfusions in ehildren with eaneer and hematologie disorders: Why, when, and how?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Pediatrie Blood and Caneer. Pediatr Blood Caneer, 2005.</w:t>
      </w:r>
      <w:r>
        <w:rPr>
          <w:rStyle w:val="21"/>
          <w:lang w:val="en-US" w:eastAsia="en-US" w:bidi="en-US"/>
        </w:rPr>
        <w:t xml:space="preserve"> Vol. 44, № 2. P 114-116.</w:t>
      </w:r>
    </w:p>
    <w:p w14:paraId="408F480E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Wong E.C.C. et al. Transfusion management strategies: A survey of praetieing pediatrie hematology/oneology speeialists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Pediatrie Blood and Caneer. Pediatr Blood Caneer, 2005. Vol. 44, №2. P. 119-127.</w:t>
      </w:r>
    </w:p>
    <w:p w14:paraId="53CC0CFD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5"/>
        </w:tabs>
        <w:spacing w:before="0" w:after="240" w:line="394" w:lineRule="exact"/>
        <w:ind w:firstLine="0"/>
        <w:jc w:val="both"/>
      </w:pPr>
      <w:r>
        <w:rPr>
          <w:rStyle w:val="21"/>
        </w:rPr>
        <w:t xml:space="preserve">Национальный </w:t>
      </w:r>
      <w:r>
        <w:rPr>
          <w:rStyle w:val="21"/>
        </w:rPr>
        <w:t>етандарт Роееийекой Федерации. Кровь донорекая и ее компоненты: Руководетво по применению компонентов донорекой крови. ЕОСТ Р 53470-2009. 2010.</w:t>
      </w:r>
    </w:p>
    <w:p w14:paraId="561B1FD3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44" w:line="394" w:lineRule="exact"/>
        <w:ind w:firstLine="0"/>
        <w:jc w:val="both"/>
      </w:pPr>
      <w:r>
        <w:rPr>
          <w:rStyle w:val="21"/>
        </w:rPr>
        <w:t>Румянцев А.Е., Моргцакова Е.Ф., Павлов А.Д. Эритропоэтин: биологичеекие евойетва, возраетная регуляция эритропоэ</w:t>
      </w:r>
      <w:r>
        <w:rPr>
          <w:rStyle w:val="21"/>
        </w:rPr>
        <w:t>за, клиничеекое применение. М.: ЕЭОТАР-МЕД, 2003. 400 р.</w:t>
      </w:r>
    </w:p>
    <w:p w14:paraId="69A0BA4A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Razzouk </w:t>
      </w:r>
      <w:r>
        <w:rPr>
          <w:rStyle w:val="21"/>
        </w:rPr>
        <w:t xml:space="preserve">В.1. </w:t>
      </w:r>
      <w:r>
        <w:rPr>
          <w:rStyle w:val="21"/>
          <w:lang w:val="en-US" w:eastAsia="en-US" w:bidi="en-US"/>
        </w:rPr>
        <w:t>et al. Double-blind, plaeebo-eontrolled study of quality of life, hematologie end points, and safety of weekly epoetin alfa in ehildren with eaneer reeeiving myelosuppressive ehemotherap</w:t>
      </w:r>
      <w:r>
        <w:rPr>
          <w:rStyle w:val="21"/>
          <w:lang w:val="en-US" w:eastAsia="en-US" w:bidi="en-US"/>
        </w:rPr>
        <w:t xml:space="preserve">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Clin. Oneok J Clin Oneol, 2006. Vol. 24, № 22. P 3583-3589.</w:t>
      </w:r>
    </w:p>
    <w:p w14:paraId="5617A483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Eunyakova M., Rumyantsev A., Demikhov V. Effeet of rHuEPO therapy on long-term survival of anemie ehildren with aeute lymphoblastie leukemia, undergoing ehemotherapy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Haematologiea. 2013</w:t>
      </w:r>
      <w:r>
        <w:rPr>
          <w:rStyle w:val="21"/>
          <w:lang w:val="en-US" w:eastAsia="en-US" w:bidi="en-US"/>
        </w:rPr>
        <w:t>. Vol. 98, № 1. P. 705.</w:t>
      </w:r>
    </w:p>
    <w:p w14:paraId="640F2A8D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Abdelrazik N., Fouda M. Once weekly reeombinant human erythropoietin treatment for eaneer- indueed anemia in ehildren with aeute lymphoblastie leukemia reeeiving maintenanee ehemotherapy: A </w:t>
      </w:r>
      <w:r>
        <w:rPr>
          <w:rStyle w:val="21"/>
          <w:lang w:val="en-US" w:eastAsia="en-US" w:bidi="en-US"/>
        </w:rPr>
        <w:lastRenderedPageBreak/>
        <w:t xml:space="preserve">randomized ease-eontrolled study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Hemato</w:t>
      </w:r>
      <w:r>
        <w:rPr>
          <w:rStyle w:val="21"/>
          <w:lang w:val="en-US" w:eastAsia="en-US" w:bidi="en-US"/>
        </w:rPr>
        <w:t>logy. Hematology, 2007. Vol. 12, № 6. P. 533-541.</w:t>
      </w:r>
    </w:p>
    <w:p w14:paraId="34E051D1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Btiytikpamuk^u M. et al. Is epoetin alfa a treatment option for ehemotherapy-related anemia in ehildren?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Med. Pediatr. Oneol. John Wiley &amp; Sons, Ltd, 2002. Vol. 39, JM» 4. P. 455-458.</w:t>
      </w:r>
    </w:p>
    <w:p w14:paraId="1CAF9CAA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Wagner L.M. et al. </w:t>
      </w:r>
      <w:r>
        <w:rPr>
          <w:rStyle w:val="21"/>
          <w:lang w:val="en-US" w:eastAsia="en-US" w:bidi="en-US"/>
        </w:rPr>
        <w:t xml:space="preserve">Combined use of erythropoietin and granuloeyte eolony-stimulating faetor does not deerease blood transfusion requirements during induetion therapy for high-risk neuroblastoma: A randomized eontrolled trial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Clin. Oneol. J Clin Oneol, 2004. Vol. 22, JM</w:t>
      </w:r>
      <w:r>
        <w:rPr>
          <w:rStyle w:val="21"/>
          <w:lang w:val="en-US" w:eastAsia="en-US" w:bidi="en-US"/>
        </w:rPr>
        <w:t>» 10. P. 1886-1893.</w:t>
      </w:r>
    </w:p>
    <w:p w14:paraId="1819E227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Hinds PS. et al. Hemoglobin Response and Improvements in Quality of Life in Anemie Children With Caneer Reeeiving Myelosuppressive Chemotherapy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 Support Oneol. 2005. Vol. 3, JM» Suppl. 4. P. 10-11.</w:t>
      </w:r>
    </w:p>
    <w:p w14:paraId="3405B514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Zaehariah M. et al. Single dose darbepoetin alfa is us</w:t>
      </w:r>
      <w:r>
        <w:rPr>
          <w:rStyle w:val="21"/>
          <w:lang w:val="en-US" w:eastAsia="en-US" w:bidi="en-US"/>
        </w:rPr>
        <w:t xml:space="preserve">eful in redueing red eell transfusions in leukemie ehildren reeeiving ehemotherapy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Pediatr. Hematol. Oneol. In form a Healtheare, 2014. Vol. </w:t>
      </w:r>
      <w:r>
        <w:rPr>
          <w:rStyle w:val="21pt"/>
        </w:rPr>
        <w:t>31,№5.</w:t>
      </w:r>
      <w:r>
        <w:rPr>
          <w:rStyle w:val="21"/>
          <w:lang w:val="en-US" w:eastAsia="en-US" w:bidi="en-US"/>
        </w:rPr>
        <w:t xml:space="preserve"> P. 442-447.</w:t>
      </w:r>
    </w:p>
    <w:p w14:paraId="5A00A1F9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Durmaz O., Demirkaya M., Sevinir B. Reeombinant human erythropoietin P: the effeet of weekly </w:t>
      </w:r>
      <w:r>
        <w:rPr>
          <w:rStyle w:val="21"/>
          <w:lang w:val="en-US" w:eastAsia="en-US" w:bidi="en-US"/>
        </w:rPr>
        <w:t xml:space="preserve">dosing on anemia, quality of life, and long-term outeomes in pediatrie eaneer patients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Pediatr. Hematol. Oneol. Pediatr Hematol Oneol, 2011. Vol. 28, JM» 6. P. 461-468.</w:t>
      </w:r>
    </w:p>
    <w:p w14:paraId="6552A1E6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Hiradfar A., Banihosseinian M. The Effieaey of Reeombinant Human Erythropoietin in T</w:t>
      </w:r>
      <w:r>
        <w:rPr>
          <w:rStyle w:val="21"/>
          <w:lang w:val="en-US" w:eastAsia="en-US" w:bidi="en-US"/>
        </w:rPr>
        <w:t xml:space="preserve">reatment Chemotherapy Indueed Anemia in Children Diagnosed With a Solid Caneer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Iran J Ped Hematol Oneol. 2014. Vol. 4, № 4. P. 151-159.</w:t>
      </w:r>
    </w:p>
    <w:p w14:paraId="2E19E998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Морщакова Е.Ф.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>Опыт применения эритропоэтина в детекой онкологии и онкогематологии // Вопроеы гематологии, онк</w:t>
      </w:r>
      <w:r>
        <w:rPr>
          <w:rStyle w:val="21"/>
        </w:rPr>
        <w:t xml:space="preserve">ологии и иммунопатологии в педиатрии. 2008. </w:t>
      </w:r>
      <w:r>
        <w:rPr>
          <w:rStyle w:val="21"/>
          <w:lang w:val="en-US" w:eastAsia="en-US" w:bidi="en-US"/>
        </w:rPr>
        <w:t xml:space="preserve">Vol. </w:t>
      </w:r>
      <w:r>
        <w:rPr>
          <w:rStyle w:val="21"/>
        </w:rPr>
        <w:t>7, № 2. Р. 16-20.</w:t>
      </w:r>
    </w:p>
    <w:p w14:paraId="33233B6B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Maree-Berard </w:t>
      </w:r>
      <w:r>
        <w:rPr>
          <w:rStyle w:val="21"/>
        </w:rPr>
        <w:t xml:space="preserve">Р. </w:t>
      </w:r>
      <w:r>
        <w:rPr>
          <w:rStyle w:val="21"/>
          <w:lang w:val="en-US" w:eastAsia="en-US" w:bidi="en-US"/>
        </w:rPr>
        <w:t xml:space="preserve">et al. </w:t>
      </w:r>
      <w:r>
        <w:rPr>
          <w:rStyle w:val="21"/>
        </w:rPr>
        <w:t xml:space="preserve">2007 </w:t>
      </w:r>
      <w:r>
        <w:rPr>
          <w:rStyle w:val="21"/>
          <w:lang w:val="en-US" w:eastAsia="en-US" w:bidi="en-US"/>
        </w:rPr>
        <w:t>Standards, Options, and Reeommendations: Use of erythropoiesis-</w:t>
      </w:r>
    </w:p>
    <w:p w14:paraId="69AB517C" w14:textId="77777777" w:rsidR="00BE59E0" w:rsidRDefault="00D034DE">
      <w:pPr>
        <w:pStyle w:val="20"/>
        <w:shd w:val="clear" w:color="auto" w:fill="auto"/>
        <w:tabs>
          <w:tab w:val="left" w:pos="9965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stimulating agents (ESA: Epoetin alfa, epoetin beta, and darbepoetin) for the management of anemi</w:t>
      </w:r>
      <w:r>
        <w:rPr>
          <w:rStyle w:val="21"/>
          <w:lang w:val="en-US" w:eastAsia="en-US" w:bidi="en-US"/>
        </w:rPr>
        <w:t xml:space="preserve">a in ehildren with eaneer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Pediatrie Blood and Caneer. Pediatr Blood Caneer, 2009. Vol. 53,</w:t>
      </w:r>
      <w:r>
        <w:rPr>
          <w:rStyle w:val="21"/>
          <w:lang w:val="en-US" w:eastAsia="en-US" w:bidi="en-US"/>
        </w:rPr>
        <w:tab/>
        <w:t>1. P. 7-12.</w:t>
      </w:r>
    </w:p>
    <w:p w14:paraId="6C61E52D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232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Feusner J. Guidelines for epo use in ehildren with eaneer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Pediatrie Blood and Caneer. Pediatr Blood Caneer, 2009. Vol. 53, № 3. P. 308-309.</w:t>
      </w:r>
    </w:p>
    <w:p w14:paraId="02A1D51B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394" w:lineRule="exact"/>
        <w:ind w:firstLine="0"/>
        <w:jc w:val="both"/>
      </w:pPr>
      <w:r>
        <w:rPr>
          <w:rStyle w:val="21"/>
          <w:lang w:val="en-US" w:eastAsia="en-US" w:bidi="en-US"/>
        </w:rPr>
        <w:t>Gewirtz D.A. et al. Erythropoietin fails to interfere with the antiproliferative and eytotoxie</w:t>
      </w:r>
    </w:p>
    <w:p w14:paraId="157913B3" w14:textId="77777777" w:rsidR="00BE59E0" w:rsidRDefault="00D034DE">
      <w:pPr>
        <w:pStyle w:val="20"/>
        <w:shd w:val="clear" w:color="auto" w:fill="auto"/>
        <w:tabs>
          <w:tab w:val="left" w:pos="8861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effeets of antitumor drugs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Clin. Caneer Res. Clin Caneer Res, 2006. Vol. 12,</w:t>
      </w:r>
      <w:r>
        <w:rPr>
          <w:rStyle w:val="21"/>
          <w:lang w:val="en-US" w:eastAsia="en-US" w:bidi="en-US"/>
        </w:rPr>
        <w:tab/>
        <w:t>7 1. P. 2232-2238.</w:t>
      </w:r>
    </w:p>
    <w:p w14:paraId="60F577EB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Bohlius J. et al. Management of eaneer-assoeiated anemia with </w:t>
      </w:r>
      <w:r>
        <w:rPr>
          <w:rStyle w:val="21"/>
          <w:lang w:val="en-US" w:eastAsia="en-US" w:bidi="en-US"/>
        </w:rPr>
        <w:t xml:space="preserve">erythropoiesis-stimulating agents: ASCO/ASH elinieal praetiee guideline update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J. Clin. Oneol. Ameriean Soeiety of Clinieal Oneology, 2019. Vol. 37, № 15. P. 1336-1351.</w:t>
      </w:r>
    </w:p>
    <w:p w14:paraId="44066490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Bennett C.L. et al. Venous thromboembolism and mortality assoeiated with reeombinant</w:t>
      </w:r>
      <w:r>
        <w:rPr>
          <w:rStyle w:val="21"/>
          <w:lang w:val="en-US" w:eastAsia="en-US" w:bidi="en-US"/>
        </w:rPr>
        <w:t xml:space="preserve"> erythropoietin and darbepoetin administration for the treatment of eaneer-assoeiated anemia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 xml:space="preserve">JAMA - J. Am. </w:t>
      </w:r>
      <w:r>
        <w:rPr>
          <w:rStyle w:val="21"/>
          <w:lang w:val="en-US" w:eastAsia="en-US" w:bidi="en-US"/>
        </w:rPr>
        <w:lastRenderedPageBreak/>
        <w:t>Med. Assoe. JAMA, 2008. Vol. 299, № 8. P. 914-924.</w:t>
      </w:r>
    </w:p>
    <w:p w14:paraId="444CBB42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Hedley B.D., Allan A.L., Xenoeostas A. The role of erythropoietin and erythropoiesis- stimulati</w:t>
      </w:r>
      <w:r>
        <w:rPr>
          <w:rStyle w:val="21"/>
          <w:lang w:val="en-US" w:eastAsia="en-US" w:bidi="en-US"/>
        </w:rPr>
        <w:t xml:space="preserve">ng agents in tumor progression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Clinieal Caneer Researeh. Ameriean Assoeiation for Caneer Researeh, 2011. Vol. 17, № 20. P. 6373-6380.</w:t>
      </w:r>
    </w:p>
    <w:p w14:paraId="4EB8AFBD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763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>Kokhaei P. et al. Expression of erythropoietin reeeptor and in vitro funetional effeets of epoetins</w:t>
      </w:r>
    </w:p>
    <w:p w14:paraId="1E3ABA8E" w14:textId="77777777" w:rsidR="00BE59E0" w:rsidRDefault="00D034DE">
      <w:pPr>
        <w:pStyle w:val="20"/>
        <w:shd w:val="clear" w:color="auto" w:fill="auto"/>
        <w:tabs>
          <w:tab w:val="left" w:pos="8525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in B-eell malignaneies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Clin. Caneer Res. Clin Caneer Res, 2007. Vol. 13,</w:t>
      </w:r>
      <w:r>
        <w:rPr>
          <w:rStyle w:val="21"/>
          <w:lang w:val="en-US" w:eastAsia="en-US" w:bidi="en-US"/>
        </w:rPr>
        <w:tab/>
        <w:t>12. P. 3536-3544.</w:t>
      </w:r>
    </w:p>
    <w:p w14:paraId="4E13ABB5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>Takeshita A. et al. Quantitative expression of erythropoietin reeeptor (EPO-R) on aeute leukaemia eells: Relationships between the amount of EPO-R and CD phenotyp</w:t>
      </w:r>
      <w:r>
        <w:rPr>
          <w:rStyle w:val="21"/>
          <w:lang w:val="en-US" w:eastAsia="en-US" w:bidi="en-US"/>
        </w:rPr>
        <w:t xml:space="preserve">es, in vitro proliferative response, the amount of other eytokine reeeptors and elinieal prognosis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Br. J. Haematol. Br J Haematol, 2000. Vol. 108, № 1. P. 55-63.</w:t>
      </w:r>
    </w:p>
    <w:p w14:paraId="63AF1B97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after="0" w:line="394" w:lineRule="exact"/>
        <w:ind w:firstLine="0"/>
        <w:jc w:val="both"/>
      </w:pPr>
      <w:r>
        <w:rPr>
          <w:rStyle w:val="21"/>
          <w:lang w:val="en-US" w:eastAsia="en-US" w:bidi="en-US"/>
        </w:rPr>
        <w:t>DEE VECCHIO E., EOCATEEEl F. Erythropoietin and iron therapy in patients with renal</w:t>
      </w:r>
    </w:p>
    <w:p w14:paraId="4FC24BB8" w14:textId="77777777" w:rsidR="00BE59E0" w:rsidRDefault="00D034DE">
      <w:pPr>
        <w:pStyle w:val="20"/>
        <w:shd w:val="clear" w:color="auto" w:fill="auto"/>
        <w:tabs>
          <w:tab w:val="left" w:pos="9216"/>
        </w:tabs>
        <w:spacing w:before="0" w:after="244" w:line="394" w:lineRule="exact"/>
        <w:ind w:firstLine="0"/>
        <w:jc w:val="both"/>
      </w:pPr>
      <w:r>
        <w:rPr>
          <w:rStyle w:val="21"/>
          <w:lang w:val="en-US" w:eastAsia="en-US" w:bidi="en-US"/>
        </w:rPr>
        <w:t>failure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 xml:space="preserve">// </w:t>
      </w:r>
      <w:r>
        <w:rPr>
          <w:rStyle w:val="21"/>
          <w:lang w:val="en-US" w:eastAsia="en-US" w:bidi="en-US"/>
        </w:rPr>
        <w:t>Transfus. Altem. Transfiis. Med. John Wiley &amp; Sons, Etd, 2010. Vol. 11,</w:t>
      </w:r>
      <w:r>
        <w:rPr>
          <w:rStyle w:val="21"/>
          <w:lang w:val="en-US" w:eastAsia="en-US" w:bidi="en-US"/>
        </w:rPr>
        <w:tab/>
        <w:t>1. P. 20-29.</w:t>
      </w:r>
    </w:p>
    <w:p w14:paraId="6BDF9FD7" w14:textId="77777777" w:rsidR="00BE59E0" w:rsidRDefault="00D034DE">
      <w:pPr>
        <w:pStyle w:val="20"/>
        <w:numPr>
          <w:ilvl w:val="0"/>
          <w:numId w:val="6"/>
        </w:numPr>
        <w:shd w:val="clear" w:color="auto" w:fill="auto"/>
        <w:tabs>
          <w:tab w:val="left" w:pos="763"/>
        </w:tabs>
        <w:spacing w:before="0" w:after="0" w:line="389" w:lineRule="exact"/>
        <w:ind w:firstLine="0"/>
        <w:jc w:val="both"/>
        <w:sectPr w:rsidR="00BE59E0">
          <w:pgSz w:w="11900" w:h="16840"/>
          <w:pgMar w:top="33" w:right="294" w:bottom="620" w:left="297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 xml:space="preserve">(UK) N.C.G.C. Alternatives to blood transfusion for patients having surgery: Oral iron, IV iron and erythropoietin. National Institute for Health </w:t>
      </w:r>
      <w:r>
        <w:rPr>
          <w:rStyle w:val="21"/>
          <w:lang w:val="en-US" w:eastAsia="en-US" w:bidi="en-US"/>
        </w:rPr>
        <w:t>and Care Exeellenee (UK), 2015.</w:t>
      </w:r>
    </w:p>
    <w:p w14:paraId="7D03FEAD" w14:textId="77777777" w:rsidR="00BE59E0" w:rsidRDefault="00D034DE">
      <w:pPr>
        <w:pStyle w:val="10"/>
        <w:keepNext/>
        <w:keepLines/>
        <w:shd w:val="clear" w:color="auto" w:fill="auto"/>
        <w:spacing w:before="0" w:after="0" w:line="389" w:lineRule="exact"/>
        <w:ind w:right="120"/>
        <w:jc w:val="center"/>
      </w:pPr>
      <w:bookmarkStart w:id="18" w:name="bookmark18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Al. </w:t>
      </w:r>
      <w:r>
        <w:rPr>
          <w:rStyle w:val="12"/>
          <w:b/>
          <w:bCs/>
        </w:rPr>
        <w:t>Соетав рабочей группы по</w:t>
      </w:r>
      <w:r>
        <w:rPr>
          <w:rStyle w:val="12"/>
          <w:b/>
          <w:bCs/>
        </w:rPr>
        <w:br/>
        <w:t>разработке и пересмотру клинических</w:t>
      </w:r>
      <w:bookmarkEnd w:id="18"/>
    </w:p>
    <w:p w14:paraId="1D4E318E" w14:textId="77777777" w:rsidR="00BE59E0" w:rsidRDefault="00D034DE">
      <w:pPr>
        <w:pStyle w:val="10"/>
        <w:keepNext/>
        <w:keepLines/>
        <w:shd w:val="clear" w:color="auto" w:fill="auto"/>
        <w:spacing w:before="0" w:after="120" w:line="389" w:lineRule="exact"/>
        <w:ind w:right="120"/>
        <w:jc w:val="center"/>
      </w:pPr>
      <w:bookmarkStart w:id="19" w:name="bookmark19"/>
      <w:r>
        <w:rPr>
          <w:rStyle w:val="12"/>
          <w:b/>
          <w:bCs/>
        </w:rPr>
        <w:t>рекомендаций</w:t>
      </w:r>
      <w:bookmarkEnd w:id="19"/>
    </w:p>
    <w:p w14:paraId="5BCFCE0E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573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 xml:space="preserve">Румянцев Александр Григорьевич - д.м.н., академик РАН, главный детский гематолог Министерства здравоохранения Российской </w:t>
      </w:r>
      <w:r>
        <w:rPr>
          <w:rStyle w:val="21"/>
        </w:rPr>
        <w:t>Федерации, генеральный директор ФГБУ ФНКЦ ДГОИ им. Дмитрия Рогачева, профессор кафедры гематологии, онкологии и лучевой терапии педиатрического факультета РНИМУ им. Н.И. Пирогова</w:t>
      </w:r>
    </w:p>
    <w:p w14:paraId="4E20D523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 xml:space="preserve">Масчан Алексей Александрович - д.м.н., зам. генерального директора ФГБУ НМИЦ </w:t>
      </w:r>
      <w:r>
        <w:rPr>
          <w:rStyle w:val="21"/>
        </w:rPr>
        <w:t>ДГОИ им. Дмитрия Рогачева, кафедры гематологии, онкологии и лучевой терапии педиатрического факультета РНИМУ им. Н.И.Пирогова, президент Национального общества детских гематологов и онкологов, член Европейского общества гематологов</w:t>
      </w:r>
    </w:p>
    <w:p w14:paraId="5C9D88B0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Демихов Валерий Григорье</w:t>
      </w:r>
      <w:r>
        <w:rPr>
          <w:rStyle w:val="21"/>
        </w:rPr>
        <w:t>вич - д.м.н., проф., директор Научно-клинического центра гематологии, онкологии и иммунологии ГБОУ ВПО «Рязанский государственный медицинский университет им. акад. И.П. Павлова» Минздрава России</w:t>
      </w:r>
    </w:p>
    <w:p w14:paraId="2291B423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Морщакова Елена Федоровна - д.м.н., профессор</w:t>
      </w:r>
    </w:p>
    <w:p w14:paraId="4AB86148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 xml:space="preserve">Лунякова Мария </w:t>
      </w:r>
      <w:r>
        <w:rPr>
          <w:rStyle w:val="21"/>
        </w:rPr>
        <w:t>Анатольевна - к.м.н., зав. отделом гематологии и онкологии Научно</w:t>
      </w:r>
      <w:r>
        <w:rPr>
          <w:rStyle w:val="21"/>
        </w:rPr>
        <w:softHyphen/>
        <w:t>клинического центра гематологии, онкологии и иммунологии ЕБОУ ВПО «Рязанский государственный медицинский университет им. акад. И.П. Павлова» Минздрава России</w:t>
      </w:r>
    </w:p>
    <w:p w14:paraId="1E78D456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Сметанина Наталия Сергеевна - д.</w:t>
      </w:r>
      <w:r>
        <w:rPr>
          <w:rStyle w:val="21"/>
        </w:rPr>
        <w:t>м.н., профессор, заместитель директора Института гематологии, иммунологии и клеточных технологий ФЕБУ НМИН, ДЕОИ им. Дмитрия Рогачева</w:t>
      </w:r>
    </w:p>
    <w:p w14:paraId="1C769E2B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Моисеева Татьяна Николаевна - к.м.н., заведующая консультативным гематологическим отделением с дневным стационаром ФЕБУ «Н</w:t>
      </w:r>
      <w:r>
        <w:rPr>
          <w:rStyle w:val="21"/>
        </w:rPr>
        <w:t>ациональный медицинский исследовательский центр гематологии» Минздрава России</w:t>
      </w:r>
    </w:p>
    <w:p w14:paraId="0D9E9092" w14:textId="77777777" w:rsidR="00BE59E0" w:rsidRDefault="00D034DE">
      <w:pPr>
        <w:pStyle w:val="20"/>
        <w:numPr>
          <w:ilvl w:val="0"/>
          <w:numId w:val="7"/>
        </w:numPr>
        <w:shd w:val="clear" w:color="auto" w:fill="auto"/>
        <w:tabs>
          <w:tab w:val="left" w:pos="60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Аль-Ради Любовь Саттаровна - к.м.н., заместитель заведующей консультативным гематологическим отделением с дневным стационаром</w:t>
      </w:r>
    </w:p>
    <w:p w14:paraId="171CE651" w14:textId="77777777" w:rsidR="00BE59E0" w:rsidRDefault="00D034DE">
      <w:pPr>
        <w:pStyle w:val="20"/>
        <w:shd w:val="clear" w:color="auto" w:fill="auto"/>
        <w:spacing w:before="0" w:after="343" w:line="389" w:lineRule="exact"/>
        <w:ind w:left="520" w:firstLine="0"/>
        <w:jc w:val="both"/>
      </w:pPr>
      <w:r>
        <w:rPr>
          <w:rStyle w:val="21"/>
        </w:rPr>
        <w:t>по проведению химиотерапии ФЕБУ «Национальный медици</w:t>
      </w:r>
      <w:r>
        <w:rPr>
          <w:rStyle w:val="21"/>
        </w:rPr>
        <w:t>нский исследовательский центр гематологии» Минздрава России</w:t>
      </w:r>
    </w:p>
    <w:p w14:paraId="4ABC6A85" w14:textId="77777777" w:rsidR="00BE59E0" w:rsidRDefault="00D034DE">
      <w:pPr>
        <w:pStyle w:val="20"/>
        <w:shd w:val="clear" w:color="auto" w:fill="auto"/>
        <w:spacing w:before="0" w:after="0" w:line="260" w:lineRule="exact"/>
        <w:ind w:firstLine="0"/>
        <w:jc w:val="left"/>
        <w:sectPr w:rsidR="00BE59E0">
          <w:pgSz w:w="11900" w:h="16840"/>
          <w:pgMar w:top="10" w:right="294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Конфликт интересов: отсутствует</w:t>
      </w:r>
    </w:p>
    <w:p w14:paraId="394F59E4" w14:textId="77777777" w:rsidR="00BE59E0" w:rsidRDefault="00D034DE">
      <w:pPr>
        <w:pStyle w:val="10"/>
        <w:keepNext/>
        <w:keepLines/>
        <w:shd w:val="clear" w:color="auto" w:fill="auto"/>
        <w:spacing w:before="0" w:after="219" w:line="384" w:lineRule="exact"/>
        <w:jc w:val="center"/>
      </w:pPr>
      <w:bookmarkStart w:id="20" w:name="bookmark20"/>
      <w:r>
        <w:rPr>
          <w:rStyle w:val="12"/>
          <w:b/>
          <w:bCs/>
        </w:rPr>
        <w:lastRenderedPageBreak/>
        <w:t>Приложение А2. Методология разработки</w:t>
      </w:r>
      <w:r>
        <w:rPr>
          <w:rStyle w:val="12"/>
          <w:b/>
          <w:bCs/>
        </w:rPr>
        <w:br/>
        <w:t>клинических рекомендации</w:t>
      </w:r>
      <w:bookmarkEnd w:id="20"/>
    </w:p>
    <w:p w14:paraId="3438570C" w14:textId="77777777" w:rsidR="00BE59E0" w:rsidRDefault="00D034DE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1"/>
        </w:rPr>
        <w:t>Целевая аудитория данных клиничееких рекомендаций:</w:t>
      </w:r>
    </w:p>
    <w:p w14:paraId="70702B51" w14:textId="77777777" w:rsidR="00BE59E0" w:rsidRDefault="00D034DE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Врачи-Гематологи 31.08.29</w:t>
      </w:r>
    </w:p>
    <w:p w14:paraId="1A3AB8F7" w14:textId="77777777" w:rsidR="00BE59E0" w:rsidRDefault="00D034DE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Детекие врачи-онкологи 31.08.14</w:t>
      </w:r>
    </w:p>
    <w:p w14:paraId="59D69CFE" w14:textId="77777777" w:rsidR="00BE59E0" w:rsidRDefault="00D034DE">
      <w:pPr>
        <w:pStyle w:val="20"/>
        <w:numPr>
          <w:ilvl w:val="0"/>
          <w:numId w:val="8"/>
        </w:numPr>
        <w:shd w:val="clear" w:color="auto" w:fill="auto"/>
        <w:tabs>
          <w:tab w:val="left" w:pos="282"/>
        </w:tabs>
        <w:spacing w:before="0" w:after="244" w:line="389" w:lineRule="exact"/>
        <w:ind w:firstLine="0"/>
        <w:jc w:val="both"/>
      </w:pPr>
      <w:r>
        <w:rPr>
          <w:rStyle w:val="21"/>
        </w:rPr>
        <w:t>Врачи-Педиатры 31.08.19</w:t>
      </w:r>
    </w:p>
    <w:p w14:paraId="19519E22" w14:textId="0E678560" w:rsidR="00BE59E0" w:rsidRDefault="000404DE">
      <w:pPr>
        <w:pStyle w:val="20"/>
        <w:shd w:val="clear" w:color="auto" w:fill="auto"/>
        <w:spacing w:before="0" w:after="0" w:line="384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1012190" distB="0" distL="109855" distR="219710" simplePos="0" relativeHeight="377487104" behindDoc="1" locked="0" layoutInCell="1" allowOverlap="1" wp14:anchorId="374889CF" wp14:editId="2D6ECAD1">
                <wp:simplePos x="0" y="0"/>
                <wp:positionH relativeFrom="margin">
                  <wp:posOffset>109855</wp:posOffset>
                </wp:positionH>
                <wp:positionV relativeFrom="paragraph">
                  <wp:posOffset>3980815</wp:posOffset>
                </wp:positionV>
                <wp:extent cx="347345" cy="101600"/>
                <wp:effectExtent l="3810" t="0" r="1270" b="381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9F6B3" w14:textId="77777777" w:rsidR="00BE59E0" w:rsidRDefault="00D034DE">
                            <w:pPr>
                              <w:pStyle w:val="9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9Exact0"/>
                              </w:rPr>
                              <w:t>УДД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889C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.65pt;margin-top:313.45pt;width:27.35pt;height:8pt;z-index:-125829376;visibility:visible;mso-wrap-style:square;mso-width-percent:0;mso-height-percent:0;mso-wrap-distance-left:8.65pt;mso-wrap-distance-top:79.7pt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" filled="f" stroked="f">
                <v:textbox style="mso-fit-shape-to-text:t" inset="0,0,0,0">
                  <w:txbxContent>
                    <w:p w14:paraId="29C9F6B3" w14:textId="77777777" w:rsidR="00BE59E0" w:rsidRDefault="00D034DE">
                      <w:pPr>
                        <w:pStyle w:val="9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9Exact0"/>
                        </w:rPr>
                        <w:t>УДД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0285" distB="0" distL="63500" distR="63500" simplePos="0" relativeHeight="377487105" behindDoc="1" locked="0" layoutInCell="1" allowOverlap="1" wp14:anchorId="74DBA41C" wp14:editId="1FBB0FB4">
                <wp:simplePos x="0" y="0"/>
                <wp:positionH relativeFrom="margin">
                  <wp:posOffset>676910</wp:posOffset>
                </wp:positionH>
                <wp:positionV relativeFrom="paragraph">
                  <wp:posOffset>3978910</wp:posOffset>
                </wp:positionV>
                <wp:extent cx="926465" cy="10160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B749" w14:textId="77777777" w:rsidR="00BE59E0" w:rsidRDefault="00D034DE">
                            <w:pPr>
                              <w:pStyle w:val="30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30ptExact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A41C" id="Text Box 11" o:spid="_x0000_s1027" type="#_x0000_t202" style="position:absolute;left:0;text-align:left;margin-left:53.3pt;margin-top:313.3pt;width:72.95pt;height:8pt;z-index:-125829375;visibility:visible;mso-wrap-style:square;mso-width-percent:0;mso-height-percent:0;mso-wrap-distance-left:5pt;mso-wrap-distance-top:79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" filled="f" stroked="f">
                <v:textbox style="mso-fit-shape-to-text:t" inset="0,0,0,0">
                  <w:txbxContent>
                    <w:p w14:paraId="5066B749" w14:textId="77777777" w:rsidR="00BE59E0" w:rsidRDefault="00D034DE">
                      <w:pPr>
                        <w:pStyle w:val="30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30ptExact"/>
                        </w:rPr>
                        <w:t>Расшифровка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34DE">
        <w:rPr>
          <w:rStyle w:val="22"/>
        </w:rPr>
        <w:t xml:space="preserve">Таблица 1. </w:t>
      </w:r>
      <w:r w:rsidR="00D034DE">
        <w:rPr>
          <w:rStyle w:val="21"/>
        </w:rPr>
        <w:t>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0186"/>
      </w:tblGrid>
      <w:tr w:rsidR="00BE59E0" w14:paraId="08D857D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C3A5E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0"/>
              </w:rPr>
              <w:t>УДД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814F2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1"/>
              </w:rPr>
              <w:t>Расшифровка</w:t>
            </w:r>
          </w:p>
        </w:tc>
      </w:tr>
      <w:tr w:rsidR="00BE59E0" w14:paraId="797F91A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8BDB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1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30D7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2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BE59E0" w14:paraId="7A3F9FE8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4976E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2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21AED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2"/>
              </w:rPr>
              <w:t xml:space="preserve">Отдельные исследования с контролем референсным методом или отдельные </w:t>
            </w:r>
            <w:r>
              <w:rPr>
                <w:rStyle w:val="2MicrosoftSansSerif8pt2"/>
              </w:rPr>
              <w:t>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BE59E0" w14:paraId="76588557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66EC1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3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E803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2"/>
              </w:rPr>
              <w:t xml:space="preserve">Исследования без последовательного контроля референсным методом или </w:t>
            </w:r>
            <w:r>
              <w:rPr>
                <w:rStyle w:val="2MicrosoftSansSerif8pt2"/>
              </w:rPr>
              <w:t>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BE59E0" w14:paraId="1470A9D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05B08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4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128A2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2"/>
              </w:rPr>
              <w:t>Несравнительные исследования, описание клинического случая</w:t>
            </w:r>
          </w:p>
        </w:tc>
      </w:tr>
      <w:tr w:rsidR="00BE59E0" w14:paraId="4786821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F7E08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5</w:t>
            </w:r>
          </w:p>
        </w:tc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E135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2"/>
              </w:rPr>
              <w:t xml:space="preserve">Имеется лишь </w:t>
            </w:r>
            <w:r>
              <w:rPr>
                <w:rStyle w:val="2MicrosoftSansSerif8pt2"/>
              </w:rPr>
              <w:t>обоснование механизма действия или мнение экспертов</w:t>
            </w:r>
          </w:p>
        </w:tc>
      </w:tr>
    </w:tbl>
    <w:p w14:paraId="0E39DCBD" w14:textId="77777777" w:rsidR="00BE59E0" w:rsidRDefault="00D034DE">
      <w:pPr>
        <w:pStyle w:val="a8"/>
        <w:framePr w:w="11155" w:wrap="notBeside" w:vAnchor="text" w:hAnchor="text" w:xAlign="center" w:y="1"/>
        <w:shd w:val="clear" w:color="auto" w:fill="auto"/>
      </w:pPr>
      <w:r>
        <w:rPr>
          <w:rStyle w:val="a9"/>
        </w:rPr>
        <w:t xml:space="preserve">Таблица 2. </w:t>
      </w:r>
      <w:r>
        <w:rPr>
          <w:rStyle w:val="aa"/>
        </w:rPr>
        <w:t>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p w14:paraId="5CD60877" w14:textId="77777777" w:rsidR="00BE59E0" w:rsidRDefault="00BE59E0">
      <w:pPr>
        <w:framePr w:w="11155" w:wrap="notBeside" w:vAnchor="text" w:hAnchor="text" w:xAlign="center" w:y="1"/>
        <w:rPr>
          <w:sz w:val="2"/>
          <w:szCs w:val="2"/>
        </w:rPr>
      </w:pPr>
    </w:p>
    <w:p w14:paraId="1A0F93DA" w14:textId="77777777" w:rsidR="00BE59E0" w:rsidRDefault="00BE59E0">
      <w:pPr>
        <w:rPr>
          <w:sz w:val="2"/>
          <w:szCs w:val="2"/>
        </w:rPr>
      </w:pPr>
    </w:p>
    <w:p w14:paraId="62A7C4C5" w14:textId="77777777" w:rsidR="00BE59E0" w:rsidRDefault="00D034DE">
      <w:pPr>
        <w:pStyle w:val="101"/>
        <w:shd w:val="clear" w:color="auto" w:fill="auto"/>
        <w:spacing w:after="259" w:line="160" w:lineRule="exact"/>
        <w:ind w:left="1080"/>
      </w:pPr>
      <w:r>
        <w:rPr>
          <w:rStyle w:val="102"/>
        </w:rPr>
        <w:t>Систематический обзор РКИ с применением мета-анализа</w:t>
      </w:r>
    </w:p>
    <w:p w14:paraId="5934AAB5" w14:textId="77777777" w:rsidR="00BE59E0" w:rsidRDefault="00D034DE">
      <w:pPr>
        <w:pStyle w:val="101"/>
        <w:shd w:val="clear" w:color="auto" w:fill="auto"/>
        <w:spacing w:after="306" w:line="168" w:lineRule="exact"/>
        <w:ind w:left="1080"/>
      </w:pPr>
      <w:r>
        <w:rPr>
          <w:rStyle w:val="102"/>
        </w:rPr>
        <w:t>Отдельные РКИ и систематические обзоры исследований любого дизайна, за исключением РКИ, с применением мета-анализа</w:t>
      </w:r>
    </w:p>
    <w:p w14:paraId="5485C63B" w14:textId="77777777" w:rsidR="00BE59E0" w:rsidRDefault="00D034DE">
      <w:pPr>
        <w:pStyle w:val="101"/>
        <w:shd w:val="clear" w:color="auto" w:fill="auto"/>
        <w:spacing w:after="263" w:line="160" w:lineRule="exact"/>
        <w:ind w:left="1080"/>
      </w:pPr>
      <w:r>
        <w:rPr>
          <w:rStyle w:val="102"/>
        </w:rPr>
        <w:t>Нерандомизированные сравнительные исследования, в т.ч. когортные исследования</w:t>
      </w:r>
    </w:p>
    <w:p w14:paraId="2B12B587" w14:textId="77777777" w:rsidR="00BE59E0" w:rsidRDefault="00D034DE">
      <w:pPr>
        <w:pStyle w:val="101"/>
        <w:shd w:val="clear" w:color="auto" w:fill="auto"/>
        <w:spacing w:line="163" w:lineRule="exact"/>
        <w:ind w:left="1080"/>
      </w:pPr>
      <w:r>
        <w:rPr>
          <w:rStyle w:val="102"/>
        </w:rPr>
        <w:t>Несравнительные исследования, описание клинического случая или серии случаев, исследования «случай- контроль»</w:t>
      </w:r>
    </w:p>
    <w:p w14:paraId="07CACBB2" w14:textId="77777777" w:rsidR="00BE59E0" w:rsidRDefault="00D034DE">
      <w:pPr>
        <w:pStyle w:val="101"/>
        <w:shd w:val="clear" w:color="auto" w:fill="auto"/>
        <w:spacing w:after="0" w:line="163" w:lineRule="exact"/>
        <w:ind w:left="1080"/>
      </w:pPr>
      <w:r>
        <w:rPr>
          <w:rStyle w:val="102"/>
        </w:rPr>
        <w:t>Имеется лишь обоснование механизма действия вмешательства (доклинические исследования) или мнение экспертов</w:t>
      </w:r>
    </w:p>
    <w:p w14:paraId="09F5225E" w14:textId="77777777" w:rsidR="00BE59E0" w:rsidRDefault="00D034DE">
      <w:pPr>
        <w:pStyle w:val="a8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9"/>
        </w:rPr>
        <w:t xml:space="preserve">Таблица 3. </w:t>
      </w:r>
      <w:r>
        <w:rPr>
          <w:rStyle w:val="aa"/>
        </w:rPr>
        <w:t>Шкала оценки уровней убедит</w:t>
      </w:r>
      <w:r>
        <w:rPr>
          <w:rStyle w:val="aa"/>
        </w:rPr>
        <w:t>ельноети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9557"/>
      </w:tblGrid>
      <w:tr w:rsidR="00BE59E0" w14:paraId="70C8700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41431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1"/>
              </w:rPr>
              <w:t>УУР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5D71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1"/>
              </w:rPr>
              <w:t>Расшифровка</w:t>
            </w:r>
          </w:p>
        </w:tc>
      </w:tr>
      <w:tr w:rsidR="00BE59E0" w14:paraId="58465925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E63F4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А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D7676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2"/>
              </w:rPr>
              <w:t xml:space="preserve">Сильная рекомендация (все рассматриваемые критерии </w:t>
            </w:r>
            <w:r>
              <w:rPr>
                <w:rStyle w:val="2MicrosoftSansSerif8pt2"/>
              </w:rPr>
              <w:t>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BE59E0" w14:paraId="5E04F06F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6B6D6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В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F3C7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icrosoftSansSerif8pt2"/>
              </w:rPr>
              <w:t xml:space="preserve">Условная рекомендация (не все рассматриваемые критерии </w:t>
            </w:r>
            <w:r>
              <w:rPr>
                <w:rStyle w:val="2MicrosoftSansSerif8pt2"/>
              </w:rPr>
              <w:t>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BE59E0" w14:paraId="1083440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8B5AD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icrosoftSansSerif8pt2"/>
              </w:rPr>
              <w:t>С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EA881" w14:textId="77777777" w:rsidR="00BE59E0" w:rsidRDefault="00D034D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icrosoftSansSerif8pt2"/>
              </w:rPr>
              <w:t xml:space="preserve">Слабая рекомендация (отсутствие доказательств </w:t>
            </w:r>
            <w:r>
              <w:rPr>
                <w:rStyle w:val="2MicrosoftSansSerif8pt2"/>
              </w:rPr>
              <w:t>надлежащего качества (все рассматриваемые критерии</w:t>
            </w:r>
          </w:p>
        </w:tc>
      </w:tr>
    </w:tbl>
    <w:p w14:paraId="16D6120C" w14:textId="77777777" w:rsidR="00BE59E0" w:rsidRDefault="00BE59E0">
      <w:pPr>
        <w:framePr w:w="11155" w:wrap="notBeside" w:vAnchor="text" w:hAnchor="text" w:xAlign="center" w:y="1"/>
        <w:rPr>
          <w:sz w:val="2"/>
          <w:szCs w:val="2"/>
        </w:rPr>
      </w:pPr>
    </w:p>
    <w:p w14:paraId="2D7F04BE" w14:textId="77777777" w:rsidR="00BE59E0" w:rsidRDefault="00D034DE">
      <w:pPr>
        <w:rPr>
          <w:sz w:val="2"/>
          <w:szCs w:val="2"/>
        </w:rPr>
      </w:pPr>
      <w:r>
        <w:br w:type="page"/>
      </w:r>
    </w:p>
    <w:p w14:paraId="7CE5B134" w14:textId="77777777" w:rsidR="00BE59E0" w:rsidRDefault="00D034DE">
      <w:pPr>
        <w:pStyle w:val="101"/>
        <w:shd w:val="clear" w:color="auto" w:fill="auto"/>
        <w:spacing w:after="166" w:line="168" w:lineRule="exact"/>
        <w:ind w:left="1840"/>
        <w:jc w:val="left"/>
      </w:pPr>
      <w:r>
        <w:rPr>
          <w:rStyle w:val="102"/>
        </w:rPr>
        <w:lastRenderedPageBreak/>
        <w:t>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</w:r>
    </w:p>
    <w:p w14:paraId="12CC2356" w14:textId="77777777" w:rsidR="00BE59E0" w:rsidRDefault="00D034DE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 xml:space="preserve">Порядок обновления </w:t>
      </w:r>
      <w:r>
        <w:rPr>
          <w:rStyle w:val="51"/>
          <w:b/>
          <w:bCs/>
        </w:rPr>
        <w:t>клинических рекомендаций.</w:t>
      </w:r>
    </w:p>
    <w:p w14:paraId="3C744F11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pgSz w:w="11900" w:h="16840"/>
          <w:pgMar w:top="0" w:right="303" w:bottom="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медицины по вопроеам д</w:t>
      </w:r>
      <w:r>
        <w:rPr>
          <w:rStyle w:val="21"/>
        </w:rPr>
        <w:t>иагноетики, лечения, профилактики и реабилитации конкретных заболеваний, наличии обоенованных дополнений/замечаний к ранее утверждённым КР, но не чаще 1 раза в 6 мееяцев.</w:t>
      </w:r>
    </w:p>
    <w:p w14:paraId="550A1B30" w14:textId="77777777" w:rsidR="00BE59E0" w:rsidRDefault="00D034DE">
      <w:pPr>
        <w:pStyle w:val="60"/>
        <w:shd w:val="clear" w:color="auto" w:fill="auto"/>
        <w:spacing w:after="223" w:line="389" w:lineRule="exact"/>
        <w:ind w:right="80"/>
        <w:jc w:val="center"/>
      </w:pPr>
      <w:r>
        <w:rPr>
          <w:rStyle w:val="61"/>
          <w:b/>
          <w:bCs/>
        </w:rPr>
        <w:lastRenderedPageBreak/>
        <w:t>Приложение АЗ. Справочные материалы,</w:t>
      </w:r>
      <w:r>
        <w:rPr>
          <w:rStyle w:val="61"/>
          <w:b/>
          <w:bCs/>
        </w:rPr>
        <w:br/>
        <w:t>включая соответствие показаний к применению и</w:t>
      </w:r>
      <w:r>
        <w:rPr>
          <w:rStyle w:val="61"/>
          <w:b/>
          <w:bCs/>
        </w:rPr>
        <w:br/>
        <w:t>пр</w:t>
      </w:r>
      <w:r>
        <w:rPr>
          <w:rStyle w:val="61"/>
          <w:b/>
          <w:bCs/>
        </w:rPr>
        <w:t>отивопоказаний, способов применения и доз</w:t>
      </w:r>
      <w:r>
        <w:rPr>
          <w:rStyle w:val="61"/>
          <w:b/>
          <w:bCs/>
        </w:rPr>
        <w:br/>
        <w:t>лекарственных препаратов, инструкции по</w:t>
      </w:r>
      <w:r>
        <w:rPr>
          <w:rStyle w:val="61"/>
          <w:b/>
          <w:bCs/>
        </w:rPr>
        <w:br/>
        <w:t>применению лекарственного препарата</w:t>
      </w:r>
    </w:p>
    <w:p w14:paraId="7FC1DC5F" w14:textId="77777777" w:rsidR="00BE59E0" w:rsidRDefault="00D034DE">
      <w:pPr>
        <w:pStyle w:val="20"/>
        <w:shd w:val="clear" w:color="auto" w:fill="auto"/>
        <w:spacing w:before="0" w:after="0" w:line="260" w:lineRule="exact"/>
        <w:ind w:firstLine="0"/>
        <w:jc w:val="left"/>
        <w:sectPr w:rsidR="00BE59E0">
          <w:pgSz w:w="11900" w:h="16840"/>
          <w:pgMar w:top="10" w:right="399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Не предусмотрены</w:t>
      </w:r>
    </w:p>
    <w:p w14:paraId="4B3023D8" w14:textId="6E6E6A46" w:rsidR="00BE59E0" w:rsidRDefault="000404D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933C52D" wp14:editId="5C637438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699760" cy="4354830"/>
                <wp:effectExtent l="635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43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638E" w14:textId="77777777" w:rsidR="00BE59E0" w:rsidRDefault="00D034DE">
                            <w:pPr>
                              <w:pStyle w:val="ab"/>
                              <w:shd w:val="clear" w:color="auto" w:fill="auto"/>
                              <w:spacing w:line="480" w:lineRule="exact"/>
                            </w:pPr>
                            <w:r>
                              <w:t>Приложение Б. Алгоритмы действий врача</w:t>
                            </w:r>
                          </w:p>
                          <w:p w14:paraId="06AD3AE5" w14:textId="735C8460" w:rsidR="00BE59E0" w:rsidRDefault="000404D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164E4" wp14:editId="11A1483A">
                                  <wp:extent cx="5701665" cy="3742055"/>
                                  <wp:effectExtent l="0" t="0" r="0" b="0"/>
                                  <wp:docPr id="8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1665" cy="3742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C52D" id="Text Box 12" o:spid="_x0000_s1028" type="#_x0000_t202" style="position:absolute;margin-left:.05pt;margin-top:0;width:448.8pt;height:342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" filled="f" stroked="f">
                <v:textbox style="mso-fit-shape-to-text:t" inset="0,0,0,0">
                  <w:txbxContent>
                    <w:p w14:paraId="7A39638E" w14:textId="77777777" w:rsidR="00BE59E0" w:rsidRDefault="00D034DE">
                      <w:pPr>
                        <w:pStyle w:val="ab"/>
                        <w:shd w:val="clear" w:color="auto" w:fill="auto"/>
                        <w:spacing w:line="480" w:lineRule="exact"/>
                      </w:pPr>
                      <w:r>
                        <w:t>Приложение Б. Алгоритмы действий врача</w:t>
                      </w:r>
                    </w:p>
                    <w:p w14:paraId="06AD3AE5" w14:textId="735C8460" w:rsidR="00BE59E0" w:rsidRDefault="000404D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E164E4" wp14:editId="11A1483A">
                            <wp:extent cx="5701665" cy="3742055"/>
                            <wp:effectExtent l="0" t="0" r="0" b="0"/>
                            <wp:docPr id="8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1665" cy="3742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BEEB6" w14:textId="77777777" w:rsidR="00BE59E0" w:rsidRDefault="00BE59E0">
      <w:pPr>
        <w:spacing w:line="360" w:lineRule="exact"/>
      </w:pPr>
    </w:p>
    <w:p w14:paraId="60617C67" w14:textId="77777777" w:rsidR="00BE59E0" w:rsidRDefault="00BE59E0">
      <w:pPr>
        <w:spacing w:line="360" w:lineRule="exact"/>
      </w:pPr>
    </w:p>
    <w:p w14:paraId="16EE75C7" w14:textId="77777777" w:rsidR="00BE59E0" w:rsidRDefault="00BE59E0">
      <w:pPr>
        <w:spacing w:line="360" w:lineRule="exact"/>
      </w:pPr>
    </w:p>
    <w:p w14:paraId="55291E85" w14:textId="77777777" w:rsidR="00BE59E0" w:rsidRDefault="00BE59E0">
      <w:pPr>
        <w:spacing w:line="360" w:lineRule="exact"/>
      </w:pPr>
    </w:p>
    <w:p w14:paraId="2584BC3E" w14:textId="77777777" w:rsidR="00BE59E0" w:rsidRDefault="00BE59E0">
      <w:pPr>
        <w:spacing w:line="360" w:lineRule="exact"/>
      </w:pPr>
    </w:p>
    <w:p w14:paraId="70366DE3" w14:textId="77777777" w:rsidR="00BE59E0" w:rsidRDefault="00BE59E0">
      <w:pPr>
        <w:spacing w:line="360" w:lineRule="exact"/>
      </w:pPr>
    </w:p>
    <w:p w14:paraId="732295B9" w14:textId="77777777" w:rsidR="00BE59E0" w:rsidRDefault="00BE59E0">
      <w:pPr>
        <w:spacing w:line="360" w:lineRule="exact"/>
      </w:pPr>
    </w:p>
    <w:p w14:paraId="10D6C894" w14:textId="77777777" w:rsidR="00BE59E0" w:rsidRDefault="00BE59E0">
      <w:pPr>
        <w:spacing w:line="360" w:lineRule="exact"/>
      </w:pPr>
    </w:p>
    <w:p w14:paraId="1AD99EAC" w14:textId="77777777" w:rsidR="00BE59E0" w:rsidRDefault="00BE59E0">
      <w:pPr>
        <w:spacing w:line="360" w:lineRule="exact"/>
      </w:pPr>
    </w:p>
    <w:p w14:paraId="29A8FC36" w14:textId="77777777" w:rsidR="00BE59E0" w:rsidRDefault="00BE59E0">
      <w:pPr>
        <w:spacing w:line="360" w:lineRule="exact"/>
      </w:pPr>
    </w:p>
    <w:p w14:paraId="52E06148" w14:textId="77777777" w:rsidR="00BE59E0" w:rsidRDefault="00BE59E0">
      <w:pPr>
        <w:spacing w:line="360" w:lineRule="exact"/>
      </w:pPr>
    </w:p>
    <w:p w14:paraId="0500F3CE" w14:textId="77777777" w:rsidR="00BE59E0" w:rsidRDefault="00BE59E0">
      <w:pPr>
        <w:spacing w:line="360" w:lineRule="exact"/>
      </w:pPr>
    </w:p>
    <w:p w14:paraId="1095E7DA" w14:textId="77777777" w:rsidR="00BE59E0" w:rsidRDefault="00BE59E0">
      <w:pPr>
        <w:spacing w:line="360" w:lineRule="exact"/>
      </w:pPr>
    </w:p>
    <w:p w14:paraId="61EC4AA5" w14:textId="77777777" w:rsidR="00BE59E0" w:rsidRDefault="00BE59E0">
      <w:pPr>
        <w:spacing w:line="360" w:lineRule="exact"/>
      </w:pPr>
    </w:p>
    <w:p w14:paraId="40F87B7A" w14:textId="77777777" w:rsidR="00BE59E0" w:rsidRDefault="00BE59E0">
      <w:pPr>
        <w:spacing w:line="360" w:lineRule="exact"/>
      </w:pPr>
    </w:p>
    <w:p w14:paraId="17A5C181" w14:textId="77777777" w:rsidR="00BE59E0" w:rsidRDefault="00BE59E0">
      <w:pPr>
        <w:spacing w:line="360" w:lineRule="exact"/>
      </w:pPr>
    </w:p>
    <w:p w14:paraId="4CFD1E98" w14:textId="77777777" w:rsidR="00BE59E0" w:rsidRDefault="00BE59E0">
      <w:pPr>
        <w:spacing w:line="366" w:lineRule="exact"/>
      </w:pPr>
    </w:p>
    <w:p w14:paraId="258B97EB" w14:textId="77777777" w:rsidR="00BE59E0" w:rsidRDefault="00BE59E0">
      <w:pPr>
        <w:rPr>
          <w:sz w:val="2"/>
          <w:szCs w:val="2"/>
        </w:rPr>
        <w:sectPr w:rsidR="00BE59E0">
          <w:pgSz w:w="11900" w:h="16840"/>
          <w:pgMar w:top="0" w:right="1157" w:bottom="0" w:left="375" w:header="0" w:footer="3" w:gutter="0"/>
          <w:cols w:space="720"/>
          <w:noEndnote/>
          <w:docGrid w:linePitch="360"/>
        </w:sectPr>
      </w:pPr>
    </w:p>
    <w:p w14:paraId="774FDF05" w14:textId="77777777" w:rsidR="00BE59E0" w:rsidRDefault="00D034DE">
      <w:pPr>
        <w:pStyle w:val="10"/>
        <w:keepNext/>
        <w:keepLines/>
        <w:shd w:val="clear" w:color="auto" w:fill="auto"/>
        <w:spacing w:before="0" w:after="20" w:line="480" w:lineRule="exact"/>
        <w:ind w:left="20"/>
        <w:jc w:val="center"/>
      </w:pPr>
      <w:bookmarkStart w:id="21" w:name="bookmark21"/>
      <w:r>
        <w:rPr>
          <w:rStyle w:val="12"/>
          <w:b/>
          <w:bCs/>
        </w:rPr>
        <w:lastRenderedPageBreak/>
        <w:t>Приложение В. Информация для пациента</w:t>
      </w:r>
      <w:bookmarkEnd w:id="21"/>
    </w:p>
    <w:p w14:paraId="4E2BBC0D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Анемия часто </w:t>
      </w:r>
      <w:r>
        <w:rPr>
          <w:rStyle w:val="21"/>
        </w:rPr>
        <w:t>сопровождает течение злокачественных новообразований у детей и взрослых, являясь следствием угнетения образования эритроцитов в костном мозге под действием опухоли или проводимой химиотерапии.</w:t>
      </w:r>
    </w:p>
    <w:p w14:paraId="7EDA14A9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Анемия не только у^^дшает качество жизни, но и негативно влияет</w:t>
      </w:r>
      <w:r>
        <w:rPr>
          <w:rStyle w:val="21"/>
        </w:rPr>
        <w:t xml:space="preserve"> на выживаемость и, вероятно, на эффективность противоопухолевого лечения.</w:t>
      </w:r>
    </w:p>
    <w:p w14:paraId="0F57A4B6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Основными симптомами анемии являются сердцебиение, одышка, усиливающиеся при физической нагрузке, головокружение, шум в ушах, слабость, повышенная утомляемость, бледность кожных пок</w:t>
      </w:r>
      <w:r>
        <w:rPr>
          <w:rStyle w:val="21"/>
        </w:rPr>
        <w:t xml:space="preserve">ровов. Следует отметить, что большинство симптомов являются не специфическими признаками анемии, которые накладываются на симптомы основного заболевания и побочные эффекты </w:t>
      </w:r>
      <w:r>
        <w:rPr>
          <w:rStyle w:val="21"/>
          <w:lang w:val="en-US" w:eastAsia="en-US" w:bidi="en-US"/>
        </w:rPr>
        <w:t>XT.</w:t>
      </w:r>
    </w:p>
    <w:p w14:paraId="3056A3C6" w14:textId="77777777" w:rsidR="00BE59E0" w:rsidRDefault="00D034D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До настоящего времени рутинным методом лечения анемии у детей и взрослых со ЗН я</w:t>
      </w:r>
      <w:r>
        <w:rPr>
          <w:rStyle w:val="21"/>
        </w:rPr>
        <w:t>вляется переливание эритроцитарной массы, показания к которому, как правило, возникают при снижении концентрации НЬ ниже 70 г/л или более высоких уровнях НЬ при наличии симптомов гипоксии. Недостатками гемотрансфузионной терапии являются непродолжительност</w:t>
      </w:r>
      <w:r>
        <w:rPr>
          <w:rStyle w:val="21"/>
        </w:rPr>
        <w:t>ь достигнутого результата, риск развития ряда острых и отдаленных реакций и осложнений. При более высоких концентрациях Нв лечение не проводится.</w:t>
      </w:r>
    </w:p>
    <w:p w14:paraId="06D5AB9D" w14:textId="77777777" w:rsidR="00BE59E0" w:rsidRDefault="00D034DE">
      <w:pPr>
        <w:pStyle w:val="20"/>
        <w:shd w:val="clear" w:color="auto" w:fill="auto"/>
        <w:spacing w:before="0" w:after="0" w:line="389" w:lineRule="exact"/>
        <w:ind w:firstLine="0"/>
        <w:jc w:val="both"/>
        <w:sectPr w:rsidR="00BE59E0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В отдельных случаях, при относительных противопоказаниях к трансфузиям эритроцитной массы</w:t>
      </w:r>
      <w:r>
        <w:rPr>
          <w:rStyle w:val="21"/>
        </w:rPr>
        <w:t>, в случае редкой группы крови или аллоиммунизации, либо при отказе пациента/ родителей от трансфузий по религиозным соображениям коррекция анемии может проводиться применением рчЭПО с препаратами железа. Кроме того, такая терапия оправдана для пациентов н</w:t>
      </w:r>
      <w:r>
        <w:rPr>
          <w:rStyle w:val="21"/>
        </w:rPr>
        <w:t>а паллиативном лечении. Терапия ЭСП может проводиться только на фоне химиотерапии и только с информированного согласия родителей/законных опекунов или самого пациента в случае достижения им возраста 16 лет.</w:t>
      </w:r>
    </w:p>
    <w:p w14:paraId="4E2560DA" w14:textId="77777777" w:rsidR="00BE59E0" w:rsidRDefault="00D034DE">
      <w:pPr>
        <w:pStyle w:val="60"/>
        <w:shd w:val="clear" w:color="auto" w:fill="auto"/>
        <w:spacing w:line="389" w:lineRule="exact"/>
        <w:ind w:right="40"/>
        <w:jc w:val="center"/>
      </w:pPr>
      <w:r>
        <w:rPr>
          <w:rStyle w:val="61"/>
          <w:b/>
          <w:bCs/>
        </w:rPr>
        <w:lastRenderedPageBreak/>
        <w:t xml:space="preserve">Приложение </w:t>
      </w:r>
      <w:r>
        <w:rPr>
          <w:rStyle w:val="61"/>
          <w:b/>
          <w:bCs/>
          <w:lang w:val="en-US" w:eastAsia="en-US" w:bidi="en-US"/>
        </w:rPr>
        <w:t xml:space="preserve">Fl-FN. </w:t>
      </w:r>
      <w:r>
        <w:rPr>
          <w:rStyle w:val="61"/>
          <w:b/>
          <w:bCs/>
        </w:rPr>
        <w:t>Шкалы оценки, вопросники и</w:t>
      </w:r>
      <w:r>
        <w:rPr>
          <w:rStyle w:val="61"/>
          <w:b/>
          <w:bCs/>
        </w:rPr>
        <w:br/>
        <w:t>друг</w:t>
      </w:r>
      <w:r>
        <w:rPr>
          <w:rStyle w:val="61"/>
          <w:b/>
          <w:bCs/>
        </w:rPr>
        <w:t>ие оценочные инструменты состояния</w:t>
      </w:r>
      <w:r>
        <w:rPr>
          <w:rStyle w:val="61"/>
          <w:b/>
          <w:bCs/>
        </w:rPr>
        <w:br/>
        <w:t>пациента, приведенные в клинических</w:t>
      </w:r>
    </w:p>
    <w:p w14:paraId="0B017B97" w14:textId="77777777" w:rsidR="00BE59E0" w:rsidRDefault="00D034DE">
      <w:pPr>
        <w:pStyle w:val="60"/>
        <w:shd w:val="clear" w:color="auto" w:fill="auto"/>
        <w:spacing w:after="223" w:line="389" w:lineRule="exact"/>
        <w:ind w:right="40"/>
        <w:jc w:val="center"/>
      </w:pPr>
      <w:r>
        <w:rPr>
          <w:rStyle w:val="61"/>
          <w:b/>
          <w:bCs/>
        </w:rPr>
        <w:t>рекомендациях</w:t>
      </w:r>
    </w:p>
    <w:p w14:paraId="52EF1503" w14:textId="77777777" w:rsidR="00BE59E0" w:rsidRDefault="00D034DE">
      <w:pPr>
        <w:pStyle w:val="20"/>
        <w:shd w:val="clear" w:color="auto" w:fill="auto"/>
        <w:spacing w:before="0" w:after="0" w:line="260" w:lineRule="exact"/>
        <w:ind w:firstLine="0"/>
        <w:jc w:val="left"/>
      </w:pPr>
      <w:r>
        <w:rPr>
          <w:rStyle w:val="21"/>
        </w:rPr>
        <w:t>Не применяются</w:t>
      </w:r>
    </w:p>
    <w:sectPr w:rsidR="00BE59E0">
      <w:pgSz w:w="11900" w:h="16840"/>
      <w:pgMar w:top="10" w:right="351" w:bottom="10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7309" w14:textId="77777777" w:rsidR="00D034DE" w:rsidRDefault="00D034DE">
      <w:r>
        <w:separator/>
      </w:r>
    </w:p>
  </w:endnote>
  <w:endnote w:type="continuationSeparator" w:id="0">
    <w:p w14:paraId="6375B193" w14:textId="77777777" w:rsidR="00D034DE" w:rsidRDefault="00D0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A318" w14:textId="77777777" w:rsidR="00D034DE" w:rsidRDefault="00D034DE"/>
  </w:footnote>
  <w:footnote w:type="continuationSeparator" w:id="0">
    <w:p w14:paraId="111D7836" w14:textId="77777777" w:rsidR="00D034DE" w:rsidRDefault="00D03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4FBF" w14:textId="3367A6B3" w:rsidR="00BE59E0" w:rsidRDefault="0004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4A4FF04" wp14:editId="4E0BBD3D">
              <wp:simplePos x="0" y="0"/>
              <wp:positionH relativeFrom="page">
                <wp:posOffset>489585</wp:posOffset>
              </wp:positionH>
              <wp:positionV relativeFrom="page">
                <wp:posOffset>10795</wp:posOffset>
              </wp:positionV>
              <wp:extent cx="6577330" cy="518160"/>
              <wp:effectExtent l="3810" t="1270" r="635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68A1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0F02AE40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4FF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8.55pt;margin-top:.85pt;width:517.9pt;height:40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" filled="f" stroked="f">
              <v:textbox style="mso-fit-shape-to-text:t" inset="0,0,0,0">
                <w:txbxContent>
                  <w:p w14:paraId="20E868A1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0F02AE40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B62B" w14:textId="77777777" w:rsidR="00BE59E0" w:rsidRDefault="00BE59E0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37A5" w14:textId="77777777" w:rsidR="00BE59E0" w:rsidRDefault="00BE59E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9E84" w14:textId="77777777" w:rsidR="00BE59E0" w:rsidRDefault="00BE59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E329" w14:textId="568F7E9D" w:rsidR="00BE59E0" w:rsidRDefault="0004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8D816BE" wp14:editId="711BE790">
              <wp:simplePos x="0" y="0"/>
              <wp:positionH relativeFrom="page">
                <wp:posOffset>489585</wp:posOffset>
              </wp:positionH>
              <wp:positionV relativeFrom="page">
                <wp:posOffset>10795</wp:posOffset>
              </wp:positionV>
              <wp:extent cx="6632575" cy="701040"/>
              <wp:effectExtent l="3810" t="1270" r="254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C4A21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7064B0F9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еостояния (группы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816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8.55pt;margin-top:.85pt;width:522.25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" filled="f" stroked="f">
              <v:textbox style="mso-fit-shape-to-text:t" inset="0,0,0,0">
                <w:txbxContent>
                  <w:p w14:paraId="576C4A21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7064B0F9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еостояния (группы </w:t>
                    </w:r>
                    <w:r>
                      <w:rPr>
                        <w:rStyle w:val="a6"/>
                        <w:b/>
                        <w:bCs/>
                      </w:rPr>
                      <w:t>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C479" w14:textId="19041F6E" w:rsidR="00BE59E0" w:rsidRDefault="0004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4ED4C24" wp14:editId="4B4E61A0">
              <wp:simplePos x="0" y="0"/>
              <wp:positionH relativeFrom="page">
                <wp:posOffset>746760</wp:posOffset>
              </wp:positionH>
              <wp:positionV relativeFrom="page">
                <wp:posOffset>21590</wp:posOffset>
              </wp:positionV>
              <wp:extent cx="6133465" cy="701040"/>
              <wp:effectExtent l="3810" t="254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FEBBC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1.1 Определение заболевания или еостояния</w:t>
                          </w:r>
                        </w:p>
                        <w:p w14:paraId="70336941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D4C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8.8pt;margin-top:1.7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" filled="f" stroked="f">
              <v:textbox style="mso-fit-shape-to-text:t" inset="0,0,0,0">
                <w:txbxContent>
                  <w:p w14:paraId="55EFEBBC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1.1 Определение заболевания или еостояния</w:t>
                    </w:r>
                  </w:p>
                  <w:p w14:paraId="70336941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F95F" w14:textId="77777777" w:rsidR="00BE59E0" w:rsidRDefault="00BE59E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0645" w14:textId="6F0D2D6F" w:rsidR="00BE59E0" w:rsidRDefault="0004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E8EE81B" wp14:editId="234D7EFB">
              <wp:simplePos x="0" y="0"/>
              <wp:positionH relativeFrom="page">
                <wp:posOffset>551815</wp:posOffset>
              </wp:positionH>
              <wp:positionV relativeFrom="page">
                <wp:posOffset>21590</wp:posOffset>
              </wp:positionV>
              <wp:extent cx="6518910" cy="701040"/>
              <wp:effectExtent l="0" t="254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78C6B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1.3 Эпидемиология заболевания или еостояния</w:t>
                          </w:r>
                        </w:p>
                        <w:p w14:paraId="6372A861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EE8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3.45pt;margin-top:1.7pt;width:513.3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" filled="f" stroked="f">
              <v:textbox style="mso-fit-shape-to-text:t" inset="0,0,0,0">
                <w:txbxContent>
                  <w:p w14:paraId="35178C6B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1.3 Эпидемиология заболевания или еостояния</w:t>
                    </w:r>
                  </w:p>
                  <w:p w14:paraId="6372A861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6B38" w14:textId="77777777" w:rsidR="00BE59E0" w:rsidRDefault="00BE59E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7A61" w14:textId="698E6983" w:rsidR="00BE59E0" w:rsidRDefault="0004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B6B245B" wp14:editId="02E36B0C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B645B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4D95C8BB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состояния (группы за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B24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8.65pt;margin-top:1.7pt;width:522.25pt;height:55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" filled="f" stroked="f">
              <v:textbox style="mso-fit-shape-to-text:t" inset="0,0,0,0">
                <w:txbxContent>
                  <w:p w14:paraId="1B8B645B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4D95C8BB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состояния (группы за</w:t>
                    </w:r>
                    <w:r>
                      <w:rPr>
                        <w:rStyle w:val="a6"/>
                        <w:b/>
                        <w:bCs/>
                      </w:rPr>
                      <w:t>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0325" w14:textId="0118D1A3" w:rsidR="00BE59E0" w:rsidRDefault="0004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85E9B04" wp14:editId="2F62EC87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577330" cy="518160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E4961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7361D9FD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E9B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8.65pt;margin-top:1.7pt;width:517.9pt;height:40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" filled="f" stroked="f">
              <v:textbox style="mso-fit-shape-to-text:t" inset="0,0,0,0">
                <w:txbxContent>
                  <w:p w14:paraId="414E4961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7361D9FD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F261" w14:textId="689A8B57" w:rsidR="00BE59E0" w:rsidRDefault="0004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06DA7C5" wp14:editId="61D94E37">
              <wp:simplePos x="0" y="0"/>
              <wp:positionH relativeFrom="page">
                <wp:posOffset>539750</wp:posOffset>
              </wp:positionH>
              <wp:positionV relativeFrom="page">
                <wp:posOffset>21590</wp:posOffset>
              </wp:positionV>
              <wp:extent cx="6555105" cy="701040"/>
              <wp:effectExtent l="0" t="254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10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0C548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1.5 Классификация заболевания или состояния</w:t>
                          </w:r>
                        </w:p>
                        <w:p w14:paraId="60DD3D9C" w14:textId="77777777" w:rsidR="00BE59E0" w:rsidRDefault="00D034D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DA7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2.5pt;margin-top:1.7pt;width:516.15pt;height:55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" filled="f" stroked="f">
              <v:textbox style="mso-fit-shape-to-text:t" inset="0,0,0,0">
                <w:txbxContent>
                  <w:p w14:paraId="4540C548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1.5 Классификация заболевания или состояния</w:t>
                    </w:r>
                  </w:p>
                  <w:p w14:paraId="60DD3D9C" w14:textId="77777777" w:rsidR="00BE59E0" w:rsidRDefault="00D034D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1C9"/>
    <w:multiLevelType w:val="multilevel"/>
    <w:tmpl w:val="097C3E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55426"/>
    <w:multiLevelType w:val="multilevel"/>
    <w:tmpl w:val="E6E0B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614A9"/>
    <w:multiLevelType w:val="multilevel"/>
    <w:tmpl w:val="AF365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A7543"/>
    <w:multiLevelType w:val="multilevel"/>
    <w:tmpl w:val="C43E1AA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64C6B"/>
    <w:multiLevelType w:val="multilevel"/>
    <w:tmpl w:val="E56E5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723B6"/>
    <w:multiLevelType w:val="multilevel"/>
    <w:tmpl w:val="6F128A80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C42449"/>
    <w:multiLevelType w:val="multilevel"/>
    <w:tmpl w:val="91342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233D31"/>
    <w:multiLevelType w:val="multilevel"/>
    <w:tmpl w:val="8AD0C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E0"/>
    <w:rsid w:val="000404DE"/>
    <w:rsid w:val="00BE59E0"/>
    <w:rsid w:val="00D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FEB51"/>
  <w15:docId w15:val="{E21A0571-4266-4FA3-85FA-9450FD1D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8pt0">
    <w:name w:val="Основной текст (2) + Microsoft Sans Serif;8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pt1">
    <w:name w:val="Основной текст (2) + Microsoft Sans Serif;8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pt2">
    <w:name w:val="Основной текст (2) + Microsoft Sans Serif;8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  <w:jc w:val="center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240" w:line="389" w:lineRule="exact"/>
      <w:ind w:hanging="4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840" w:after="6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0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ab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7697</Words>
  <Characters>43873</Characters>
  <Application>Microsoft Office Word</Application>
  <DocSecurity>0</DocSecurity>
  <Lines>365</Lines>
  <Paragraphs>102</Paragraphs>
  <ScaleCrop>false</ScaleCrop>
  <Company/>
  <LinksUpToDate>false</LinksUpToDate>
  <CharactersWithSpaces>51468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2023-11-10T03:31:00Z</dcterms:created>
  <dcterms:modified xsi:type="dcterms:W3CDTF">2023-11-10T03:32:00Z</dcterms:modified>
</cp:coreProperties>
</file>